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
          <w:bCs/>
          <w:sz w:val="28"/>
          <w:szCs w:val="28"/>
        </w:rPr>
      </w:pPr>
      <w:r>
        <w:rPr>
          <w:rFonts w:hint="eastAsia" w:ascii="Times New Roman" w:hAnsi="黑体" w:eastAsia="黑体" w:cs="Times New Roman"/>
          <w:b/>
          <w:bCs/>
          <w:sz w:val="28"/>
          <w:szCs w:val="28"/>
        </w:rPr>
        <w:t>附件</w:t>
      </w:r>
      <w:r>
        <w:rPr>
          <w:rFonts w:ascii="Times New Roman" w:hAnsi="Times New Roman" w:eastAsia="黑体" w:cs="Times New Roman"/>
          <w:b/>
          <w:bCs/>
          <w:sz w:val="28"/>
          <w:szCs w:val="28"/>
        </w:rPr>
        <w:t>2</w:t>
      </w:r>
      <w:r>
        <w:rPr>
          <w:rFonts w:hint="eastAsia" w:ascii="Times New Roman" w:hAnsi="黑体" w:eastAsia="黑体" w:cs="Times New Roman"/>
          <w:b/>
          <w:bCs/>
          <w:sz w:val="28"/>
          <w:szCs w:val="28"/>
        </w:rPr>
        <w:t>：</w:t>
      </w:r>
    </w:p>
    <w:p>
      <w:pPr>
        <w:jc w:val="center"/>
        <w:rPr>
          <w:rFonts w:hint="eastAsia" w:ascii="Times New Roman" w:hAnsi="Times New Roman" w:eastAsia="方正小标宋简体" w:cs="Times New Roman"/>
          <w:b/>
          <w:bCs/>
          <w:sz w:val="36"/>
          <w:szCs w:val="36"/>
          <w:lang w:val="en-US" w:eastAsia="zh-CN"/>
        </w:rPr>
      </w:pPr>
      <w:r>
        <w:rPr>
          <w:rFonts w:hint="eastAsia" w:ascii="Times New Roman" w:hAnsi="Times New Roman" w:eastAsia="方正小标宋简体" w:cs="Times New Roman"/>
          <w:b/>
          <w:bCs/>
          <w:sz w:val="36"/>
          <w:szCs w:val="36"/>
        </w:rPr>
        <w:t>本科教育教学审核评估指标</w:t>
      </w:r>
      <w:r>
        <w:rPr>
          <w:rFonts w:hint="eastAsia" w:ascii="Times New Roman" w:hAnsi="Times New Roman" w:eastAsia="方正小标宋简体" w:cs="Times New Roman"/>
          <w:b/>
          <w:bCs/>
          <w:sz w:val="36"/>
          <w:szCs w:val="36"/>
          <w:lang w:eastAsia="zh-CN"/>
        </w:rPr>
        <w:t>解读</w:t>
      </w:r>
    </w:p>
    <w:p>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b/>
          <w:bCs/>
          <w:sz w:val="36"/>
          <w:szCs w:val="36"/>
        </w:rPr>
        <w:t>（</w:t>
      </w:r>
      <w:r>
        <w:rPr>
          <w:rFonts w:hint="eastAsia" w:ascii="黑体" w:hAnsi="黑体" w:eastAsia="黑体" w:cs="Times New Roman"/>
          <w:b/>
          <w:bCs/>
          <w:sz w:val="36"/>
          <w:szCs w:val="36"/>
        </w:rPr>
        <w:t>第二类第一种</w:t>
      </w:r>
      <w:r>
        <w:rPr>
          <w:rFonts w:hint="eastAsia" w:ascii="Times New Roman" w:hAnsi="Times New Roman" w:eastAsia="方正小标宋简体" w:cs="Times New Roman"/>
          <w:b/>
          <w:bCs/>
          <w:sz w:val="36"/>
          <w:szCs w:val="36"/>
        </w:rPr>
        <w:t>）</w:t>
      </w:r>
    </w:p>
    <w:tbl>
      <w:tblPr>
        <w:tblStyle w:val="8"/>
        <w:tblW w:w="5122" w:type="pct"/>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9"/>
        <w:gridCol w:w="1700"/>
        <w:gridCol w:w="994"/>
        <w:gridCol w:w="4815"/>
        <w:gridCol w:w="2817"/>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4"/>
              </w:rPr>
            </w:pPr>
            <w:bookmarkStart w:id="0" w:name="_GoBack"/>
            <w:r>
              <w:rPr>
                <w:rFonts w:hint="eastAsia" w:ascii="Times New Roman" w:hAnsi="宋体" w:eastAsia="宋体" w:cs="Times New Roman"/>
                <w:b/>
                <w:bCs/>
                <w:sz w:val="24"/>
              </w:rPr>
              <w:t>一级指标</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4"/>
              </w:rPr>
            </w:pPr>
            <w:r>
              <w:rPr>
                <w:rFonts w:hint="eastAsia" w:ascii="Times New Roman" w:hAnsi="宋体" w:eastAsia="宋体" w:cs="Times New Roman"/>
                <w:b/>
                <w:bCs/>
                <w:sz w:val="24"/>
              </w:rPr>
              <w:t>二级指标</w:t>
            </w:r>
          </w:p>
        </w:tc>
        <w:tc>
          <w:tcPr>
            <w:tcW w:w="2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4"/>
              </w:rPr>
            </w:pPr>
            <w:r>
              <w:rPr>
                <w:rFonts w:hint="eastAsia" w:ascii="Times New Roman" w:hAnsi="宋体" w:eastAsia="宋体" w:cs="Times New Roman"/>
                <w:b/>
                <w:bCs/>
                <w:sz w:val="24"/>
              </w:rPr>
              <w:t>审核重点</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指标解读</w:t>
            </w:r>
          </w:p>
        </w:tc>
        <w:tc>
          <w:tcPr>
            <w:tcW w:w="94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b/>
                <w:bCs/>
                <w:sz w:val="24"/>
                <w:lang w:eastAsia="zh-CN"/>
              </w:rPr>
            </w:pPr>
            <w:r>
              <w:rPr>
                <w:rFonts w:hint="eastAsia" w:ascii="Times New Roman" w:hAnsi="宋体" w:eastAsia="宋体" w:cs="Times New Roman"/>
                <w:b/>
                <w:bCs/>
                <w:sz w:val="24"/>
                <w:lang w:eastAsia="zh-CN"/>
              </w:rPr>
              <w:t>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kern w:val="0"/>
                <w:sz w:val="24"/>
              </w:rPr>
              <w:t>1.</w:t>
            </w:r>
            <w:r>
              <w:rPr>
                <w:rFonts w:ascii="Times New Roman" w:hAnsi="宋体" w:eastAsia="宋体" w:cs="Times New Roman"/>
                <w:kern w:val="0"/>
                <w:sz w:val="24"/>
              </w:rPr>
              <w:t>办学方向与本科地位</w:t>
            </w:r>
          </w:p>
        </w:tc>
        <w:tc>
          <w:tcPr>
            <w:tcW w:w="585"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kern w:val="0"/>
                <w:sz w:val="24"/>
              </w:rPr>
              <w:t>1.1</w:t>
            </w:r>
            <w:r>
              <w:rPr>
                <w:rFonts w:ascii="Times New Roman" w:hAnsi="宋体" w:eastAsia="宋体" w:cs="Times New Roman"/>
                <w:kern w:val="0"/>
                <w:sz w:val="24"/>
              </w:rPr>
              <w:t>党的领导</w:t>
            </w:r>
          </w:p>
        </w:tc>
        <w:tc>
          <w:tcPr>
            <w:tcW w:w="2000" w:type="pct"/>
            <w:gridSpan w:val="2"/>
            <w:tcBorders>
              <w:top w:val="single" w:color="auto" w:sz="4" w:space="0"/>
              <w:left w:val="single" w:color="auto" w:sz="4" w:space="0"/>
              <w:right w:val="single" w:color="auto" w:sz="4" w:space="0"/>
            </w:tcBorders>
            <w:shd w:val="clear" w:color="auto" w:fill="auto"/>
            <w:vAlign w:val="center"/>
          </w:tcPr>
          <w:p>
            <w:pPr>
              <w:widowControl/>
              <w:adjustRightInd w:val="0"/>
              <w:snapToGrid w:val="0"/>
              <w:textAlignment w:val="center"/>
              <w:rPr>
                <w:rFonts w:ascii="Times New Roman" w:hAnsi="Times New Roman" w:eastAsia="宋体" w:cs="Times New Roman"/>
                <w:sz w:val="24"/>
              </w:rPr>
            </w:pPr>
            <w:r>
              <w:rPr>
                <w:rFonts w:ascii="Times New Roman" w:hAnsi="Times New Roman" w:eastAsia="宋体" w:cs="Times New Roman"/>
                <w:kern w:val="0"/>
                <w:sz w:val="24"/>
              </w:rPr>
              <w:t xml:space="preserve">1.1.1 </w:t>
            </w:r>
            <w:r>
              <w:rPr>
                <w:rFonts w:ascii="Times New Roman" w:hAnsi="宋体" w:eastAsia="宋体" w:cs="Times New Roman"/>
                <w:kern w:val="0"/>
                <w:sz w:val="24"/>
              </w:rPr>
              <w:t>学校坚持党的全面领导，依法治教、依法办学、依法治校，围绕国家战略需求培养担当民族复兴大任的时代新人情况</w:t>
            </w:r>
          </w:p>
        </w:tc>
        <w:tc>
          <w:tcPr>
            <w:tcW w:w="970" w:type="pc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宋体" w:eastAsia="宋体" w:cs="Times New Roman"/>
                <w:kern w:val="0"/>
                <w:sz w:val="24"/>
              </w:rPr>
              <w:t>坚持以习近平新时代中国特色社会主义思想为指导，坚持党的全面领导，全面贯彻党的教育方针，依法治校，围绕国家战略需求培养担当民族复兴大任的时代新人，所采取的举措及取得的成效，特别是党的全面领导对高质量发展的引领作用。</w:t>
            </w:r>
          </w:p>
        </w:tc>
        <w:tc>
          <w:tcPr>
            <w:tcW w:w="94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kern w:val="0"/>
                <w:sz w:val="24"/>
              </w:rPr>
            </w:pPr>
            <w:r>
              <w:rPr>
                <w:rFonts w:hint="eastAsia" w:ascii="Times New Roman" w:hAnsi="宋体" w:eastAsia="宋体" w:cs="Times New Roman"/>
                <w:kern w:val="0"/>
                <w:sz w:val="24"/>
              </w:rPr>
              <w:t>列出能够证明上述自评结果的相关材料目录索引，包括在加强党的领导方面出台的制度文件；贯彻落实立德树人根本任务方面的成果、典型案例；相关会议/党政联席会议议题或宣传报道材料。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tcBorders>
              <w:left w:val="single" w:color="auto" w:sz="4" w:space="0"/>
              <w:right w:val="single" w:color="auto" w:sz="4" w:space="0"/>
            </w:tcBorders>
            <w:shd w:val="clear" w:color="auto" w:fill="auto"/>
          </w:tcPr>
          <w:p>
            <w:pPr>
              <w:adjustRightInd w:val="0"/>
              <w:snapToGrid w:val="0"/>
              <w:jc w:val="center"/>
              <w:rPr>
                <w:rFonts w:ascii="Times New Roman" w:hAnsi="Times New Roman" w:eastAsia="宋体" w:cs="Times New Roman"/>
                <w:sz w:val="24"/>
              </w:rPr>
            </w:pPr>
          </w:p>
        </w:tc>
        <w:tc>
          <w:tcPr>
            <w:tcW w:w="585" w:type="pct"/>
            <w:vMerge w:val="continue"/>
            <w:tcBorders>
              <w:left w:val="single" w:color="auto" w:sz="4" w:space="0"/>
              <w:right w:val="single" w:color="auto" w:sz="4" w:space="0"/>
            </w:tcBorders>
            <w:shd w:val="clear" w:color="auto" w:fill="auto"/>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widowControl/>
              <w:adjustRightInd w:val="0"/>
              <w:snapToGrid w:val="0"/>
              <w:textAlignment w:val="center"/>
              <w:rPr>
                <w:rFonts w:ascii="Times New Roman" w:hAnsi="Times New Roman" w:eastAsia="宋体" w:cs="Times New Roman"/>
                <w:kern w:val="0"/>
                <w:sz w:val="24"/>
              </w:rPr>
            </w:pPr>
            <w:r>
              <w:rPr>
                <w:rFonts w:ascii="Times New Roman" w:hAnsi="Times New Roman" w:eastAsia="宋体" w:cs="Times New Roman"/>
                <w:kern w:val="0"/>
                <w:sz w:val="24"/>
              </w:rPr>
              <w:t>1.1.2 学校坚持社会主义办学方向、贯彻落实立德树人根本任务、把立德树人成效作为检验学校一切工作</w:t>
            </w:r>
            <w:r>
              <w:rPr>
                <w:rFonts w:hint="eastAsia" w:ascii="Times New Roman" w:hAnsi="Times New Roman" w:eastAsia="宋体" w:cs="Times New Roman"/>
                <w:kern w:val="0"/>
                <w:sz w:val="24"/>
              </w:rPr>
              <w:t>的</w:t>
            </w:r>
            <w:r>
              <w:rPr>
                <w:rFonts w:ascii="Times New Roman" w:hAnsi="Times New Roman" w:eastAsia="宋体" w:cs="Times New Roman"/>
                <w:kern w:val="0"/>
                <w:sz w:val="24"/>
              </w:rPr>
              <w:t>根本标准情况</w:t>
            </w:r>
          </w:p>
        </w:tc>
        <w:tc>
          <w:tcPr>
            <w:tcW w:w="970" w:type="pct"/>
            <w:shd w:val="clear" w:color="auto" w:fill="auto"/>
            <w:vAlign w:val="center"/>
          </w:tcPr>
          <w:p>
            <w:pPr>
              <w:widowControl/>
              <w:adjustRightInd w:val="0"/>
              <w:snapToGrid w:val="0"/>
              <w:textAlignment w:val="center"/>
              <w:rPr>
                <w:rFonts w:ascii="Times New Roman" w:hAnsi="Times New Roman" w:eastAsia="宋体" w:cs="Times New Roman"/>
                <w:kern w:val="0"/>
                <w:sz w:val="24"/>
              </w:rPr>
            </w:pPr>
            <w:r>
              <w:rPr>
                <w:rFonts w:hint="eastAsia" w:ascii="Times New Roman" w:hAnsi="Times New Roman" w:eastAsia="宋体" w:cs="Times New Roman"/>
                <w:kern w:val="0"/>
                <w:sz w:val="24"/>
              </w:rPr>
              <w:t>如何坚持社会主义办学方向、贯彻落实立德树人根本任务的，是否把立德树人成效作为检验工作的根本标准，如何体现，所采取的具体举措及取得的成效。</w:t>
            </w:r>
          </w:p>
          <w:p>
            <w:pPr>
              <w:widowControl/>
              <w:adjustRightInd w:val="0"/>
              <w:snapToGrid w:val="0"/>
              <w:textAlignment w:val="center"/>
              <w:rPr>
                <w:rFonts w:ascii="Times New Roman" w:hAnsi="Times New Roman" w:eastAsia="宋体" w:cs="Times New Roman"/>
                <w:kern w:val="0"/>
                <w:sz w:val="24"/>
              </w:rPr>
            </w:pPr>
          </w:p>
        </w:tc>
        <w:tc>
          <w:tcPr>
            <w:tcW w:w="948" w:type="pct"/>
            <w:vMerge w:val="continue"/>
            <w:tcBorders>
              <w:left w:val="single" w:color="auto" w:sz="4" w:space="0"/>
              <w:right w:val="single" w:color="auto" w:sz="4" w:space="0"/>
            </w:tcBorders>
            <w:shd w:val="clear" w:color="auto" w:fill="auto"/>
            <w:vAlign w:val="center"/>
          </w:tcPr>
          <w:p>
            <w:pPr>
              <w:adjustRightInd w:val="0"/>
              <w:snapToGrid w:val="0"/>
              <w:ind w:firstLine="482"/>
              <w:jc w:val="center"/>
              <w:rPr>
                <w:rFonts w:ascii="Times New Roman"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tcBorders>
              <w:lef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1.2</w:t>
            </w:r>
            <w:r>
              <w:rPr>
                <w:rFonts w:ascii="Times New Roman" w:hAnsi="宋体" w:eastAsia="宋体" w:cs="Times New Roman"/>
                <w:sz w:val="24"/>
              </w:rPr>
              <w:t>思政教育</w:t>
            </w:r>
          </w:p>
        </w:tc>
        <w:tc>
          <w:tcPr>
            <w:tcW w:w="2000" w:type="pct"/>
            <w:gridSpan w:val="2"/>
            <w:tcBorders>
              <w:right w:val="single" w:color="auto" w:sz="4" w:space="0"/>
            </w:tcBorders>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1.2.1 思想政治工作体系建设和</w:t>
            </w:r>
            <w:r>
              <w:rPr>
                <w:rFonts w:hint="eastAsia" w:ascii="Times New Roman" w:hAnsi="Times New Roman" w:eastAsia="宋体" w:cs="Times New Roman"/>
                <w:sz w:val="24"/>
              </w:rPr>
              <w:t>“三全育人”工作格局建立情况</w:t>
            </w:r>
          </w:p>
        </w:tc>
        <w:tc>
          <w:tcPr>
            <w:tcW w:w="970" w:type="pct"/>
            <w:tcBorders>
              <w:left w:val="single" w:color="auto" w:sz="4" w:space="0"/>
            </w:tcBorders>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贯彻落实教育部等八部门《关于加快构建高校思想政治工作体系的意见》（教思政〔</w:t>
            </w:r>
            <w:r>
              <w:rPr>
                <w:rFonts w:ascii="Times New Roman" w:hAnsi="Times New Roman" w:eastAsia="宋体" w:cs="Times New Roman"/>
                <w:sz w:val="24"/>
              </w:rPr>
              <w:t>2020</w:t>
            </w:r>
            <w:r>
              <w:rPr>
                <w:rFonts w:hint="eastAsia" w:ascii="Times New Roman" w:hAnsi="Times New Roman" w:eastAsia="宋体" w:cs="Times New Roman"/>
                <w:sz w:val="24"/>
              </w:rPr>
              <w:t>〕</w:t>
            </w:r>
            <w:r>
              <w:rPr>
                <w:rFonts w:ascii="Times New Roman" w:hAnsi="Times New Roman" w:eastAsia="宋体" w:cs="Times New Roman"/>
                <w:sz w:val="24"/>
              </w:rPr>
              <w:t>1</w:t>
            </w:r>
            <w:r>
              <w:rPr>
                <w:rFonts w:hint="eastAsia" w:ascii="Times New Roman" w:hAnsi="Times New Roman" w:eastAsia="宋体" w:cs="Times New Roman"/>
                <w:sz w:val="24"/>
              </w:rPr>
              <w:t>号）精神，构建思想政治教育工作体系情况？如何开展</w:t>
            </w:r>
            <w:r>
              <w:rPr>
                <w:rFonts w:ascii="Times New Roman" w:hAnsi="Times New Roman" w:eastAsia="宋体" w:cs="Times New Roman"/>
                <w:sz w:val="24"/>
              </w:rPr>
              <w:t>“三全育人”</w:t>
            </w:r>
            <w:r>
              <w:rPr>
                <w:rFonts w:hint="eastAsia" w:ascii="Times New Roman" w:hAnsi="Times New Roman" w:eastAsia="宋体" w:cs="Times New Roman"/>
                <w:sz w:val="24"/>
              </w:rPr>
              <w:t>工作？成效如何？</w:t>
            </w:r>
          </w:p>
        </w:tc>
        <w:tc>
          <w:tcPr>
            <w:tcW w:w="948" w:type="pct"/>
            <w:vMerge w:val="restart"/>
            <w:shd w:val="clear" w:color="auto" w:fill="auto"/>
            <w:vAlign w:val="center"/>
          </w:tcPr>
          <w:p>
            <w:pPr>
              <w:adjustRightInd w:val="0"/>
              <w:snapToGrid w:val="0"/>
              <w:ind w:firstLine="482"/>
              <w:jc w:val="center"/>
              <w:rPr>
                <w:rFonts w:ascii="Times New Roman" w:hAnsi="Times New Roman" w:eastAsia="宋体" w:cs="Times New Roman"/>
                <w:b/>
                <w:bCs/>
                <w:kern w:val="0"/>
                <w:sz w:val="24"/>
              </w:rPr>
            </w:pPr>
            <w:r>
              <w:rPr>
                <w:rFonts w:hint="eastAsia" w:ascii="Times New Roman" w:hAnsi="Times New Roman" w:eastAsia="宋体" w:cs="Times New Roman"/>
                <w:sz w:val="24"/>
              </w:rPr>
              <w:t>支撑材料目录：列出能够证明上述自评结果的相关材料目录索引，包括在思政教育方面的制度文件；思想政治理论课教师队伍和思政课程建设方面的统计分析资料；课程思政的典型案例；课程思政示范课程、课程思政教学研究示范中心建设等资料；师生在思想政治、道德品质等方面出现负面问题情况应对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tcBorders>
              <w:left w:val="single" w:color="auto" w:sz="4" w:space="0"/>
              <w:right w:val="single" w:color="auto" w:sz="4" w:space="0"/>
            </w:tcBorders>
            <w:shd w:val="clear" w:color="auto" w:fill="auto"/>
          </w:tcPr>
          <w:p>
            <w:pPr>
              <w:adjustRightInd w:val="0"/>
              <w:snapToGrid w:val="0"/>
              <w:rPr>
                <w:rFonts w:ascii="Times New Roman" w:hAnsi="Times New Roman" w:eastAsia="宋体" w:cs="Times New Roman"/>
                <w:sz w:val="24"/>
              </w:rPr>
            </w:pPr>
          </w:p>
        </w:tc>
        <w:tc>
          <w:tcPr>
            <w:tcW w:w="585" w:type="pct"/>
            <w:vMerge w:val="continue"/>
            <w:tcBorders>
              <w:lef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tcBorders>
              <w:right w:val="single" w:color="auto" w:sz="4" w:space="0"/>
            </w:tcBorders>
            <w:shd w:val="clear" w:color="auto" w:fill="auto"/>
            <w:vAlign w:val="center"/>
          </w:tcPr>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1.2.2 加强思想政治理论课教师队伍和思政课程建设情况，按要求开设“习近平总书记关于教育的重要论述研究”课程情况</w:t>
            </w:r>
          </w:p>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【必选】思政课专任教师与折合在校生比例≥1:350</w:t>
            </w:r>
          </w:p>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【必选】专职党务工作人员和思想政治工作人员总数与全校师生人数比例≥1:100</w:t>
            </w:r>
          </w:p>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【必选】生均思政工作和党务工作队伍建设专项经费≥20元</w:t>
            </w:r>
          </w:p>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【必选】生均网络思政工作专项经费≥40元</w:t>
            </w:r>
          </w:p>
        </w:tc>
        <w:tc>
          <w:tcPr>
            <w:tcW w:w="970" w:type="pct"/>
            <w:tcBorders>
              <w:left w:val="single" w:color="auto" w:sz="4" w:space="0"/>
            </w:tcBorders>
            <w:shd w:val="clear" w:color="auto" w:fill="auto"/>
            <w:vAlign w:val="center"/>
          </w:tcPr>
          <w:p>
            <w:pPr>
              <w:adjustRightInd w:val="0"/>
              <w:snapToGrid w:val="0"/>
              <w:rPr>
                <w:rFonts w:hint="eastAsia" w:ascii="Times New Roman" w:hAnsi="Times New Roman" w:eastAsia="宋体" w:cs="Times New Roman"/>
                <w:sz w:val="24"/>
              </w:rPr>
            </w:pPr>
            <w:r>
              <w:rPr>
                <w:rFonts w:hint="eastAsia" w:ascii="Times New Roman" w:hAnsi="Times New Roman" w:eastAsia="宋体" w:cs="Times New Roman"/>
                <w:sz w:val="24"/>
              </w:rPr>
              <w:t>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教育部令第46号）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tcBorders>
              <w:lef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tcBorders>
              <w:right w:val="single" w:color="auto" w:sz="4" w:space="0"/>
            </w:tcBorders>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1.2.3</w:t>
            </w:r>
            <w:r>
              <w:rPr>
                <w:rFonts w:hint="eastAsia" w:ascii="Times New Roman" w:hAnsi="Times New Roman" w:eastAsia="宋体" w:cs="Times New Roman"/>
                <w:sz w:val="24"/>
              </w:rPr>
              <w:t xml:space="preserve"> </w:t>
            </w:r>
            <w:r>
              <w:rPr>
                <w:rFonts w:hint="eastAsia" w:ascii="宋体" w:hAnsi="宋体" w:eastAsia="宋体" w:cs="Times New Roman"/>
                <w:sz w:val="24"/>
              </w:rPr>
              <w:t>“课程思政”建</w:t>
            </w:r>
            <w:r>
              <w:rPr>
                <w:rFonts w:hint="eastAsia" w:ascii="Times New Roman" w:hAnsi="宋体" w:eastAsia="宋体" w:cs="Times New Roman"/>
                <w:sz w:val="24"/>
              </w:rPr>
              <w:t>设与成效，课程思政示范课程、课程思政教学研究示范中心以及课程思政教学名师和团队的建设及选树情况</w:t>
            </w:r>
          </w:p>
        </w:tc>
        <w:tc>
          <w:tcPr>
            <w:tcW w:w="970" w:type="pct"/>
            <w:tcBorders>
              <w:lef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贯彻落实教育部《高等学校课程思政建设指导纲要》（教高〔</w:t>
            </w:r>
            <w:r>
              <w:rPr>
                <w:rFonts w:ascii="Times New Roman" w:hAnsi="Times New Roman" w:eastAsia="宋体" w:cs="Times New Roman"/>
                <w:sz w:val="24"/>
              </w:rPr>
              <w:t>2020</w:t>
            </w:r>
            <w:r>
              <w:rPr>
                <w:rFonts w:hint="eastAsia" w:ascii="Times New Roman" w:hAnsi="Times New Roman" w:eastAsia="宋体" w:cs="Times New Roman"/>
                <w:sz w:val="24"/>
              </w:rPr>
              <w:t>〕</w:t>
            </w:r>
            <w:r>
              <w:rPr>
                <w:rFonts w:ascii="Times New Roman" w:hAnsi="Times New Roman" w:eastAsia="宋体" w:cs="Times New Roman"/>
                <w:sz w:val="24"/>
              </w:rPr>
              <w:t>3</w:t>
            </w:r>
            <w:r>
              <w:rPr>
                <w:rFonts w:hint="eastAsia" w:ascii="Times New Roman" w:hAnsi="Times New Roman" w:eastAsia="宋体" w:cs="Times New Roman"/>
                <w:sz w:val="24"/>
              </w:rPr>
              <w:t>号）精神，在课程思政示范课程、课程思政教学研究示范中心建设、教学名师和团队的建设方面的举措及成效（包括经费投入、教师进修培养、激励机制等）</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tcBorders>
              <w:left w:val="single" w:color="auto" w:sz="4" w:space="0"/>
              <w:right w:val="single" w:color="auto" w:sz="4" w:space="0"/>
            </w:tcBorders>
            <w:shd w:val="clear" w:color="auto" w:fill="auto"/>
          </w:tcPr>
          <w:p>
            <w:pPr>
              <w:adjustRightInd w:val="0"/>
              <w:snapToGrid w:val="0"/>
              <w:rPr>
                <w:rFonts w:ascii="Times New Roman" w:hAnsi="Times New Roman" w:eastAsia="宋体" w:cs="Times New Roman"/>
                <w:sz w:val="24"/>
              </w:rPr>
            </w:pPr>
          </w:p>
        </w:tc>
        <w:tc>
          <w:tcPr>
            <w:tcW w:w="585" w:type="pct"/>
            <w:vMerge w:val="continue"/>
            <w:tcBorders>
              <w:left w:val="single" w:color="auto" w:sz="4" w:space="0"/>
            </w:tcBorders>
            <w:shd w:val="clear" w:color="auto" w:fill="auto"/>
          </w:tcPr>
          <w:p>
            <w:pPr>
              <w:adjustRightInd w:val="0"/>
              <w:snapToGrid w:val="0"/>
              <w:jc w:val="left"/>
              <w:rPr>
                <w:rFonts w:ascii="Times New Roman" w:hAnsi="Times New Roman" w:eastAsia="宋体" w:cs="Times New Roman"/>
                <w:sz w:val="24"/>
              </w:rPr>
            </w:pPr>
          </w:p>
        </w:tc>
        <w:tc>
          <w:tcPr>
            <w:tcW w:w="2000" w:type="pct"/>
            <w:gridSpan w:val="2"/>
            <w:tcBorders>
              <w:right w:val="single" w:color="auto" w:sz="4" w:space="0"/>
            </w:tcBorders>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1.2.4 </w:t>
            </w:r>
            <w:r>
              <w:rPr>
                <w:rFonts w:ascii="Times New Roman" w:hAnsi="宋体" w:eastAsia="宋体" w:cs="Times New Roman"/>
                <w:sz w:val="24"/>
              </w:rPr>
              <w:t>学校对教师、学生出现思想政治、道德品质等负面问题能否及时发现和妥当处置情况</w:t>
            </w:r>
          </w:p>
        </w:tc>
        <w:tc>
          <w:tcPr>
            <w:tcW w:w="970" w:type="pct"/>
            <w:tcBorders>
              <w:left w:val="single" w:color="auto" w:sz="4" w:space="0"/>
            </w:tcBorders>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在师生思想政治、道德品质等方面负面问题的预警机制、应对处置措施及实施情况。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kern w:val="0"/>
                <w:sz w:val="24"/>
              </w:rPr>
            </w:pPr>
            <w:r>
              <w:rPr>
                <w:rFonts w:ascii="Times New Roman" w:hAnsi="Times New Roman" w:eastAsia="宋体" w:cs="Times New Roman"/>
                <w:b/>
                <w:kern w:val="0"/>
                <w:sz w:val="24"/>
              </w:rPr>
              <w:t>1.</w:t>
            </w:r>
            <w:r>
              <w:rPr>
                <w:rFonts w:ascii="Times New Roman" w:hAnsi="宋体" w:eastAsia="宋体" w:cs="Times New Roman"/>
                <w:kern w:val="0"/>
                <w:sz w:val="24"/>
              </w:rPr>
              <w:t>办学方向与本科地位</w:t>
            </w:r>
          </w:p>
        </w:tc>
        <w:tc>
          <w:tcPr>
            <w:tcW w:w="585" w:type="pct"/>
            <w:vMerge w:val="restart"/>
            <w:shd w:val="clear" w:color="auto" w:fill="auto"/>
            <w:vAlign w:val="center"/>
          </w:tcPr>
          <w:p>
            <w:pPr>
              <w:adjustRightInd w:val="0"/>
              <w:snapToGrid w:val="0"/>
              <w:jc w:val="left"/>
              <w:rPr>
                <w:rFonts w:ascii="Times New Roman" w:hAnsi="Times New Roman" w:eastAsia="宋体" w:cs="Times New Roman"/>
                <w:b/>
                <w:bCs/>
                <w:sz w:val="24"/>
              </w:rPr>
            </w:pPr>
            <w:r>
              <w:rPr>
                <w:rFonts w:ascii="Times New Roman" w:hAnsi="Times New Roman" w:eastAsia="宋体" w:cs="Times New Roman"/>
                <w:sz w:val="24"/>
              </w:rPr>
              <w:t>1.3</w:t>
            </w:r>
            <w:r>
              <w:rPr>
                <w:rFonts w:ascii="Times New Roman" w:hAnsi="宋体" w:eastAsia="宋体" w:cs="Times New Roman"/>
                <w:sz w:val="24"/>
              </w:rPr>
              <w:t>本科地位</w:t>
            </w:r>
          </w:p>
        </w:tc>
        <w:tc>
          <w:tcPr>
            <w:tcW w:w="2000" w:type="pct"/>
            <w:gridSpan w:val="2"/>
            <w:shd w:val="clear" w:color="auto" w:fill="auto"/>
            <w:vAlign w:val="center"/>
          </w:tcPr>
          <w:p>
            <w:pPr>
              <w:adjustRightInd w:val="0"/>
              <w:snapToGrid w:val="0"/>
              <w:rPr>
                <w:rFonts w:ascii="Times New Roman" w:hAnsi="Times New Roman" w:eastAsia="宋体" w:cs="Times New Roman"/>
                <w:b/>
                <w:bCs/>
                <w:sz w:val="24"/>
              </w:rPr>
            </w:pPr>
            <w:r>
              <w:rPr>
                <w:rFonts w:ascii="Times New Roman" w:hAnsi="Times New Roman" w:eastAsia="宋体" w:cs="Times New Roman"/>
                <w:sz w:val="24"/>
              </w:rPr>
              <w:t xml:space="preserve">1.3.1 </w:t>
            </w:r>
            <w:r>
              <w:rPr>
                <w:rFonts w:hint="eastAsia" w:ascii="宋体" w:hAnsi="宋体" w:eastAsia="宋体" w:cs="Times New Roman"/>
                <w:sz w:val="24"/>
              </w:rPr>
              <w:t>“以本为本”落实</w:t>
            </w:r>
            <w:r>
              <w:rPr>
                <w:rFonts w:ascii="Times New Roman" w:hAnsi="宋体" w:eastAsia="宋体" w:cs="Times New Roman"/>
                <w:sz w:val="24"/>
              </w:rPr>
              <w:t>情况，党委重视、校长主抓、院长落实的本科教育良好氛围形成情况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在坚</w:t>
            </w:r>
            <w:r>
              <w:rPr>
                <w:rFonts w:ascii="Times New Roman" w:hAnsi="Times New Roman" w:eastAsia="宋体" w:cs="Times New Roman"/>
                <w:sz w:val="24"/>
              </w:rPr>
              <w:t>持“以本为本”</w:t>
            </w:r>
            <w:r>
              <w:rPr>
                <w:rFonts w:hint="eastAsia" w:ascii="Times New Roman" w:hAnsi="Times New Roman" w:eastAsia="宋体" w:cs="Times New Roman"/>
                <w:sz w:val="24"/>
              </w:rPr>
              <w:t>，把本科教育放在人才培养的核心地位、教育教学的基础地位、新时代教育发展的前沿地位情况；在营造党委重视、院长主抓和落实的本科教育良好氛围方面所采取的举措及实施成效。</w:t>
            </w:r>
          </w:p>
        </w:tc>
        <w:tc>
          <w:tcPr>
            <w:tcW w:w="948" w:type="pct"/>
            <w:vMerge w:val="restart"/>
            <w:shd w:val="clear" w:color="auto" w:fill="auto"/>
            <w:vAlign w:val="center"/>
          </w:tcPr>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ascii="Times New Roman" w:hAnsi="Times New Roman" w:eastAsia="宋体" w:cs="Times New Roman"/>
                <w:b/>
                <w:bCs/>
                <w:sz w:val="24"/>
              </w:rPr>
            </w:pPr>
            <w:r>
              <w:rPr>
                <w:rFonts w:hint="eastAsia" w:ascii="Times New Roman" w:hAnsi="Times New Roman" w:eastAsia="宋体" w:cs="Times New Roman"/>
                <w:sz w:val="24"/>
              </w:rPr>
              <w:t>列出能够证明上述自评结果的相关材料目录索引，包括在落实本科地位方面制订出台的制度文件；党政联席会专题研究本科教学工作的会议记录、各级领导听课记录；开展新时代思想大讨论的相关材料；教师引进、职称评聘、绩效考核等制度文件；近三年在教学方面的经费投入情况，院系、教师年度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b/>
                <w:bCs/>
                <w:sz w:val="24"/>
              </w:rPr>
            </w:pPr>
            <w:r>
              <w:rPr>
                <w:rFonts w:ascii="Times New Roman" w:hAnsi="Times New Roman" w:eastAsia="宋体" w:cs="Times New Roman"/>
                <w:sz w:val="24"/>
              </w:rPr>
              <w:t xml:space="preserve">1.3.2 </w:t>
            </w:r>
            <w:r>
              <w:rPr>
                <w:rFonts w:hint="eastAsia" w:ascii="宋体" w:hAnsi="宋体" w:eastAsia="宋体" w:cs="Times New Roman"/>
                <w:sz w:val="24"/>
              </w:rPr>
              <w:t>“四个回归”</w:t>
            </w:r>
            <w:r>
              <w:rPr>
                <w:rFonts w:hint="eastAsia" w:ascii="Times New Roman" w:hAnsi="宋体" w:eastAsia="宋体" w:cs="Times New Roman"/>
                <w:sz w:val="24"/>
              </w:rPr>
              <w:t>的实现情况，推进学生刻苦读书学习、教师潜心教书育人、学校倾心培养社会主义建设者和接班人等方面的举措与成效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是否已落实了</w:t>
            </w:r>
            <w:r>
              <w:rPr>
                <w:rFonts w:ascii="Times New Roman" w:hAnsi="Times New Roman" w:eastAsia="宋体" w:cs="Times New Roman"/>
                <w:sz w:val="24"/>
              </w:rPr>
              <w:t>“四个回归”</w:t>
            </w:r>
            <w:r>
              <w:rPr>
                <w:rFonts w:hint="eastAsia" w:ascii="Times New Roman" w:hAnsi="Times New Roman" w:eastAsia="宋体" w:cs="Times New Roman"/>
                <w:sz w:val="24"/>
              </w:rPr>
              <w:t>？如何体现？在引导学生求真学问，引导教师热爱教学、倾心教学、研究教学，潜心教书育人方面所采取的举措及取得的成效。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1.3.3 </w:t>
            </w:r>
            <w:r>
              <w:rPr>
                <w:rFonts w:ascii="Times New Roman" w:hAnsi="宋体" w:eastAsia="宋体" w:cs="Times New Roman"/>
                <w:sz w:val="24"/>
              </w:rPr>
              <w:t>教学经费、教学资源条件、教师精力投入等优先保障本科教学的机制建设情况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【必选】生均年教学日常运行支出</w:t>
            </w:r>
            <w:r>
              <w:rPr>
                <w:rFonts w:ascii="宋体" w:hAnsi="宋体" w:eastAsia="宋体" w:cs="Times New Roman"/>
                <w:sz w:val="24"/>
              </w:rPr>
              <w:t>≥</w:t>
            </w:r>
            <w:r>
              <w:rPr>
                <w:rFonts w:ascii="Times New Roman" w:hAnsi="Times New Roman" w:eastAsia="宋体" w:cs="Times New Roman"/>
                <w:sz w:val="24"/>
              </w:rPr>
              <w:t>1200</w:t>
            </w:r>
            <w:r>
              <w:rPr>
                <w:rFonts w:ascii="Times New Roman" w:hAnsi="宋体" w:eastAsia="宋体" w:cs="Times New Roman"/>
                <w:sz w:val="24"/>
              </w:rPr>
              <w:t>元（备注</w:t>
            </w:r>
            <w:r>
              <w:rPr>
                <w:rFonts w:ascii="Times New Roman" w:hAnsi="Times New Roman" w:eastAsia="宋体" w:cs="Times New Roman"/>
                <w:sz w:val="24"/>
              </w:rPr>
              <w:t>5</w:t>
            </w:r>
            <w:r>
              <w:rPr>
                <w:rFonts w:ascii="Times New Roman" w:hAnsi="宋体" w:eastAsia="宋体" w:cs="Times New Roman"/>
                <w:sz w:val="24"/>
              </w:rPr>
              <w:t>）</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【必选】教学日常运行支出占经常性预算内教育事业费拨款（</w:t>
            </w:r>
            <w:r>
              <w:rPr>
                <w:rFonts w:ascii="Times New Roman" w:hAnsi="Times New Roman" w:eastAsia="宋体" w:cs="Times New Roman"/>
                <w:sz w:val="24"/>
              </w:rPr>
              <w:t>205</w:t>
            </w:r>
            <w:r>
              <w:rPr>
                <w:rFonts w:ascii="Times New Roman" w:hAnsi="宋体" w:eastAsia="宋体" w:cs="Times New Roman"/>
                <w:sz w:val="24"/>
              </w:rPr>
              <w:t>类教育拨款扣除专项拨款）与学费收入之和的比例</w:t>
            </w:r>
            <w:r>
              <w:rPr>
                <w:rFonts w:ascii="宋体" w:hAnsi="宋体" w:eastAsia="宋体" w:cs="Times New Roman"/>
                <w:sz w:val="24"/>
              </w:rPr>
              <w:t>≥</w:t>
            </w:r>
            <w:r>
              <w:rPr>
                <w:rFonts w:ascii="Times New Roman" w:hAnsi="Times New Roman" w:eastAsia="宋体" w:cs="Times New Roman"/>
                <w:sz w:val="24"/>
              </w:rPr>
              <w:t>13%</w:t>
            </w:r>
            <w:r>
              <w:rPr>
                <w:rFonts w:ascii="Times New Roman" w:hAnsi="宋体" w:eastAsia="宋体" w:cs="Times New Roman"/>
                <w:sz w:val="24"/>
              </w:rPr>
              <w:t>（教学日常运行支出统计要求见备注</w:t>
            </w:r>
            <w:r>
              <w:rPr>
                <w:rFonts w:ascii="Times New Roman" w:hAnsi="Times New Roman" w:eastAsia="宋体" w:cs="Times New Roman"/>
                <w:sz w:val="24"/>
              </w:rPr>
              <w:t>5</w:t>
            </w:r>
            <w:r>
              <w:rPr>
                <w:rFonts w:ascii="Times New Roman" w:hAnsi="宋体" w:eastAsia="宋体" w:cs="Times New Roman"/>
                <w:sz w:val="24"/>
              </w:rPr>
              <w:t>）</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【必选】年新增教学科研仪器设备值所占比例（要求见备注</w:t>
            </w:r>
            <w:r>
              <w:rPr>
                <w:rFonts w:ascii="Times New Roman" w:hAnsi="Times New Roman" w:eastAsia="宋体" w:cs="Times New Roman"/>
                <w:sz w:val="24"/>
              </w:rPr>
              <w:t>6</w:t>
            </w:r>
            <w:r>
              <w:rPr>
                <w:rFonts w:ascii="Times New Roman" w:hAnsi="宋体" w:eastAsia="宋体" w:cs="Times New Roman"/>
                <w:sz w:val="24"/>
              </w:rPr>
              <w:t>）</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【必选】生均教学科研仪器设备值（要求见备注</w:t>
            </w:r>
            <w:r>
              <w:rPr>
                <w:rFonts w:ascii="Times New Roman" w:hAnsi="Times New Roman" w:eastAsia="宋体" w:cs="Times New Roman"/>
                <w:sz w:val="24"/>
              </w:rPr>
              <w:t>7</w:t>
            </w:r>
            <w:r>
              <w:rPr>
                <w:rFonts w:ascii="Times New Roman" w:hAnsi="宋体" w:eastAsia="宋体" w:cs="Times New Roman"/>
                <w:sz w:val="24"/>
              </w:rPr>
              <w:t>）</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把本科教育教学工作放在优先发展地位的体现，包括经费安排，资源配置，教师引进、职称评聘、绩效考核等方面的机制体制建设。</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1.3.4 </w:t>
            </w:r>
            <w:r>
              <w:rPr>
                <w:rFonts w:ascii="Times New Roman" w:hAnsi="宋体" w:eastAsia="宋体" w:cs="Times New Roman"/>
                <w:sz w:val="24"/>
              </w:rPr>
              <w:t>学校各职能部门服务本科教育教学工作情况，本科教育教学工作在学校年度考核中的比重情况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落实“以本为本”，围绕教学中心地位开展服务工作情况、年度考核情况；本科教学工作在院系、教师年度考核中所占比重情况。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2.</w:t>
            </w:r>
            <w:r>
              <w:rPr>
                <w:rFonts w:ascii="Times New Roman" w:hAnsi="宋体" w:eastAsia="宋体" w:cs="Times New Roman"/>
                <w:sz w:val="24"/>
              </w:rPr>
              <w:t>培养过程</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2.1</w:t>
            </w:r>
            <w:r>
              <w:rPr>
                <w:rFonts w:ascii="Times New Roman" w:hAnsi="宋体" w:eastAsia="宋体" w:cs="Times New Roman"/>
                <w:sz w:val="24"/>
              </w:rPr>
              <w:t>培养方案</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2.1.1 </w:t>
            </w:r>
            <w:r>
              <w:rPr>
                <w:rFonts w:ascii="Times New Roman" w:hAnsi="宋体" w:eastAsia="宋体" w:cs="Times New Roman"/>
                <w:sz w:val="24"/>
              </w:rPr>
              <w:t>培养目标符合学校定位、适应社会经济发展需要、体现学生德智体美劳全面发展情况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人才培养总目标与学校办学定位、社会经济发展需要间的契合度；人才培养方案中体现德智体美劳全面发展的要求情况。</w:t>
            </w:r>
          </w:p>
        </w:tc>
        <w:tc>
          <w:tcPr>
            <w:tcW w:w="948" w:type="pct"/>
            <w:vMerge w:val="restart"/>
            <w:shd w:val="clear" w:color="auto" w:fill="auto"/>
            <w:vAlign w:val="center"/>
          </w:tcPr>
          <w:p>
            <w:pPr>
              <w:tabs>
                <w:tab w:val="left" w:pos="1004"/>
              </w:tabs>
              <w:adjustRightInd w:val="0"/>
              <w:snapToGrid w:val="0"/>
              <w:spacing w:line="360" w:lineRule="auto"/>
              <w:rPr>
                <w:rFonts w:hint="eastAsia" w:ascii="Times New Roman" w:hAnsi="Times New Roman" w:eastAsia="宋体" w:cs="Times New Roman"/>
                <w:sz w:val="24"/>
              </w:rPr>
            </w:pPr>
          </w:p>
          <w:p>
            <w:pPr>
              <w:tabs>
                <w:tab w:val="left" w:pos="1004"/>
              </w:tabs>
              <w:adjustRightInd w:val="0"/>
              <w:snapToGrid w:val="0"/>
              <w:spacing w:line="360" w:lineRule="auto"/>
              <w:rPr>
                <w:rFonts w:hint="eastAsia" w:ascii="Times New Roman" w:hAnsi="Times New Roman" w:eastAsia="宋体" w:cs="Times New Roman"/>
                <w:sz w:val="24"/>
              </w:rPr>
            </w:pPr>
          </w:p>
          <w:p>
            <w:pPr>
              <w:tabs>
                <w:tab w:val="left" w:pos="1004"/>
              </w:tabs>
              <w:adjustRightInd w:val="0"/>
              <w:snapToGrid w:val="0"/>
              <w:spacing w:line="360" w:lineRule="auto"/>
              <w:rPr>
                <w:rFonts w:hint="eastAsia" w:ascii="Times New Roman" w:hAnsi="Times New Roman" w:eastAsia="宋体" w:cs="Times New Roman"/>
                <w:sz w:val="24"/>
              </w:rPr>
            </w:pPr>
          </w:p>
          <w:p>
            <w:pPr>
              <w:tabs>
                <w:tab w:val="left" w:pos="1004"/>
              </w:tabs>
              <w:adjustRightInd w:val="0"/>
              <w:snapToGrid w:val="0"/>
              <w:spacing w:line="360" w:lineRule="auto"/>
              <w:rPr>
                <w:rFonts w:hint="eastAsia" w:ascii="Times New Roman" w:hAnsi="Times New Roman" w:eastAsia="宋体" w:cs="Times New Roman"/>
                <w:sz w:val="24"/>
              </w:rPr>
            </w:pPr>
          </w:p>
          <w:p>
            <w:pPr>
              <w:tabs>
                <w:tab w:val="left" w:pos="1004"/>
              </w:tabs>
              <w:adjustRightInd w:val="0"/>
              <w:snapToGrid w:val="0"/>
              <w:spacing w:line="360" w:lineRule="auto"/>
              <w:rPr>
                <w:rFonts w:ascii="Times New Roman" w:hAnsi="Times New Roman" w:eastAsia="宋体" w:cs="Times New Roman"/>
                <w:b/>
                <w:bCs/>
                <w:kern w:val="0"/>
                <w:sz w:val="24"/>
              </w:rPr>
            </w:pPr>
            <w:r>
              <w:rPr>
                <w:rFonts w:hint="eastAsia" w:ascii="Times New Roman" w:hAnsi="Times New Roman" w:eastAsia="宋体" w:cs="Times New Roman"/>
                <w:sz w:val="24"/>
              </w:rPr>
              <w:t>列出能够证明上述自评结果的相关材料目录索引，包括学科专业发展规划；人才培养方案汇编等。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2.1.2 </w:t>
            </w:r>
            <w:r>
              <w:rPr>
                <w:rFonts w:ascii="Times New Roman" w:hAnsi="宋体" w:eastAsia="宋体" w:cs="Times New Roman"/>
                <w:sz w:val="24"/>
              </w:rPr>
              <w:t>培养方案符合国家专业类标准、体现产出导向理念情况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【必选】学生毕业必须修满的公共艺术课程学分数</w:t>
            </w:r>
            <w:r>
              <w:rPr>
                <w:rFonts w:ascii="宋体" w:hAnsi="宋体" w:eastAsia="宋体" w:cs="Times New Roman"/>
                <w:sz w:val="24"/>
              </w:rPr>
              <w:t>≥</w:t>
            </w:r>
            <w:r>
              <w:rPr>
                <w:rFonts w:ascii="Times New Roman" w:hAnsi="Times New Roman" w:eastAsia="宋体" w:cs="Times New Roman"/>
                <w:sz w:val="24"/>
              </w:rPr>
              <w:t>2</w:t>
            </w:r>
            <w:r>
              <w:rPr>
                <w:rFonts w:ascii="Times New Roman" w:hAnsi="宋体" w:eastAsia="宋体" w:cs="Times New Roman"/>
                <w:sz w:val="24"/>
              </w:rPr>
              <w:t>学分</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【必选】劳动教育必修课或必修课程中劳动教育模块学时总数</w:t>
            </w:r>
            <w:r>
              <w:rPr>
                <w:rFonts w:ascii="宋体" w:hAnsi="宋体" w:eastAsia="宋体" w:cs="Times New Roman"/>
                <w:sz w:val="24"/>
              </w:rPr>
              <w:t>≥</w:t>
            </w:r>
            <w:r>
              <w:rPr>
                <w:rFonts w:ascii="Times New Roman" w:hAnsi="Times New Roman" w:eastAsia="宋体" w:cs="Times New Roman"/>
                <w:sz w:val="24"/>
              </w:rPr>
              <w:t>32</w:t>
            </w:r>
            <w:r>
              <w:rPr>
                <w:rFonts w:ascii="Times New Roman" w:hAnsi="宋体" w:eastAsia="宋体" w:cs="Times New Roman"/>
                <w:sz w:val="24"/>
              </w:rPr>
              <w:t>学时</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培养方案是否符合国家专业类标准（基本标准）要求、是否融入行业标准（特色标准）、是否体现学校定位（个性化标准）；培养方案是否体现了产出导向理念，即根据培养目标制定毕业要求、根据毕业要求构建与之相适应的课程体系。</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2.</w:t>
            </w:r>
            <w:r>
              <w:rPr>
                <w:rFonts w:ascii="Times New Roman" w:hAnsi="宋体" w:eastAsia="宋体" w:cs="Times New Roman"/>
                <w:sz w:val="24"/>
              </w:rPr>
              <w:t>培养过程</w:t>
            </w: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2.1</w:t>
            </w:r>
            <w:r>
              <w:rPr>
                <w:rFonts w:ascii="Times New Roman" w:hAnsi="宋体" w:eastAsia="宋体" w:cs="Times New Roman"/>
                <w:sz w:val="24"/>
              </w:rPr>
              <w:t>培养方案</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B2.1.3</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培养方案强化理论基础、突出科教融合、注重培养学生创新能力情况</w:t>
            </w:r>
          </w:p>
        </w:tc>
        <w:tc>
          <w:tcPr>
            <w:tcW w:w="970" w:type="pct"/>
            <w:shd w:val="clear" w:color="auto" w:fill="auto"/>
            <w:vAlign w:val="center"/>
          </w:tcPr>
          <w:p>
            <w:pPr>
              <w:adjustRightInd w:val="0"/>
              <w:snapToGrid w:val="0"/>
              <w:jc w:val="left"/>
              <w:rPr>
                <w:rFonts w:ascii="Times New Roman" w:hAnsi="Times New Roman" w:eastAsia="宋体" w:cs="Times New Roman"/>
                <w:kern w:val="0"/>
                <w:sz w:val="24"/>
              </w:rPr>
            </w:pPr>
            <w:r>
              <w:rPr>
                <w:rFonts w:hint="eastAsia" w:ascii="Times New Roman" w:hAnsi="Times New Roman" w:eastAsia="宋体" w:cs="Times New Roman"/>
                <w:sz w:val="24"/>
              </w:rPr>
              <w:t>专业培养方案是否突出了人才培养目标特色。学术型人才培养突出强化学生的理论基础，将教学与科研紧密结合，培养学生的创新意识和创新能力</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2.2</w:t>
            </w:r>
            <w:r>
              <w:rPr>
                <w:rFonts w:ascii="Times New Roman" w:hAnsi="宋体" w:eastAsia="宋体" w:cs="Times New Roman"/>
                <w:sz w:val="24"/>
              </w:rPr>
              <w:t>专业建设</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B2.2.1</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专业设置、专业建设与国家重大发展战略及社会对创新型人才需求的契合情况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【必选】通过认证（评估）的专业占专业总数的比例</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【可选】近三年新增专业数</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【可选】近三年停招专业数</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专业设置、专业建设与国家和区域经济发展需要的契合情况。对于学术型人才培养，专业设置与专业建设应与国家重大发展战略及社会对创新型人才需求相契合。</w:t>
            </w:r>
          </w:p>
        </w:tc>
        <w:tc>
          <w:tcPr>
            <w:tcW w:w="948" w:type="pct"/>
            <w:vMerge w:val="restart"/>
            <w:shd w:val="clear" w:color="auto" w:fill="auto"/>
            <w:vAlign w:val="center"/>
          </w:tcPr>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列出能够证明上述自评结果的相关材料目录索引，包括专业建设规划；制订出台的专业建设方面的制度文件；专业设置、布局情况统计分析；近三年辅修、微专业和双学士学位学生人数。</w:t>
            </w:r>
          </w:p>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B2.2.2</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围绕国家和区域经济发展需求，建立自主性、灵活性与规范性、稳定性相统一的专业设置管理体系情况</w:t>
            </w:r>
          </w:p>
        </w:tc>
        <w:tc>
          <w:tcPr>
            <w:tcW w:w="970" w:type="pct"/>
            <w:shd w:val="clear" w:color="auto" w:fill="auto"/>
            <w:vAlign w:val="center"/>
          </w:tcPr>
          <w:p>
            <w:pPr>
              <w:adjustRightInd w:val="0"/>
              <w:snapToGrid w:val="0"/>
              <w:jc w:val="left"/>
              <w:rPr>
                <w:rFonts w:ascii="Times New Roman" w:hAnsi="Times New Roman" w:eastAsia="宋体" w:cs="Times New Roman"/>
                <w:kern w:val="0"/>
                <w:sz w:val="24"/>
              </w:rPr>
            </w:pPr>
            <w:r>
              <w:rPr>
                <w:rFonts w:hint="eastAsia" w:ascii="Times New Roman" w:hAnsi="Times New Roman" w:eastAsia="宋体" w:cs="Times New Roman"/>
                <w:sz w:val="24"/>
              </w:rPr>
              <w:t>深化本科专业供给侧改革，建立自主性、灵活性与规范性、稳定性相统一的专业设置管理体系和基于专业评估的专业动态调整机制情况；对于学术型人才培养要阐述如何围绕国家和社会经济发展需求设置专业、建设专业、调整专业。</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2.2.3 </w:t>
            </w:r>
            <w:r>
              <w:rPr>
                <w:rFonts w:ascii="Times New Roman" w:hAnsi="宋体" w:eastAsia="宋体" w:cs="Times New Roman"/>
                <w:sz w:val="24"/>
              </w:rPr>
              <w:t>学校通过主辅修、微专业和双学士学位培养等举措促进复合型人才培养情况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主辅修、微专业和双学士学位培养制度建设、学生数量等情况，复合型人才培养的成效。是否提供丰富的选课资源和灵活自主的选课方式以促进学生个性化发展。</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trPr>
        <w:tc>
          <w:tcPr>
            <w:tcW w:w="495" w:type="pct"/>
            <w:vMerge w:val="continue"/>
            <w:shd w:val="clear" w:color="auto" w:fill="auto"/>
            <w:vAlign w:val="center"/>
          </w:tcPr>
          <w:p>
            <w:pPr>
              <w:adjustRightInd w:val="0"/>
              <w:snapToGrid w:val="0"/>
              <w:rPr>
                <w:rFonts w:ascii="Times New Roman" w:hAnsi="Times New Roman" w:eastAsia="宋体" w:cs="Times New Roman"/>
                <w:sz w:val="24"/>
              </w:rPr>
            </w:pP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2.3</w:t>
            </w:r>
            <w:r>
              <w:rPr>
                <w:rFonts w:ascii="Times New Roman" w:hAnsi="宋体" w:eastAsia="宋体" w:cs="Times New Roman"/>
                <w:sz w:val="24"/>
              </w:rPr>
              <w:t>实践教学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2.3.1 强化实践育人、构建实践教学体系、推动实践教学改革情况</w:t>
            </w: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【必选】实践教学学分占总学分（学时）比例（人文社科类专业≥15%，理工农医类专业≥25%）</w:t>
            </w: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【必选】国家级、省级实践教学基地（包括实验教学示范中心、虚拟仿真实验中心、临床教学培训示范中心、工程实践基地、农科教合作人才培养基地等）数</w:t>
            </w:r>
          </w:p>
        </w:tc>
        <w:tc>
          <w:tcPr>
            <w:tcW w:w="970" w:type="pc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实践教学体系的建设思路与主要内容，推进实践教学改革措施及实施效果；</w:t>
            </w:r>
          </w:p>
        </w:tc>
        <w:tc>
          <w:tcPr>
            <w:tcW w:w="948" w:type="pct"/>
            <w:vMerge w:val="restart"/>
            <w:shd w:val="clear" w:color="auto" w:fill="auto"/>
            <w:vAlign w:val="center"/>
          </w:tcPr>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ascii="Times New Roman" w:hAnsi="Times New Roman" w:eastAsia="宋体" w:cs="Times New Roman"/>
                <w:b/>
                <w:bCs/>
                <w:sz w:val="24"/>
              </w:rPr>
            </w:pPr>
            <w:r>
              <w:rPr>
                <w:rFonts w:hint="eastAsia" w:ascii="Times New Roman" w:hAnsi="Times New Roman" w:eastAsia="宋体" w:cs="Times New Roman"/>
                <w:sz w:val="24"/>
              </w:rPr>
              <w:t>列出能够证明上述自评结果的相关材料目录索引，包括制订的实践教学方面的制度文件；设计性、综合性实验开设与实验室开放情况统计；近两年毕业论文（设计）一览表，包括选题来源情况统计分析等。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sz w:val="24"/>
              </w:rPr>
              <w:t>2.</w:t>
            </w:r>
            <w:r>
              <w:rPr>
                <w:rFonts w:ascii="Times New Roman" w:hAnsi="宋体" w:eastAsia="宋体" w:cs="Times New Roman"/>
                <w:sz w:val="24"/>
              </w:rPr>
              <w:t>培养过程</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2.3</w:t>
            </w:r>
            <w:r>
              <w:rPr>
                <w:rFonts w:ascii="Times New Roman" w:hAnsi="宋体" w:eastAsia="宋体" w:cs="Times New Roman"/>
                <w:sz w:val="24"/>
              </w:rPr>
              <w:t>实践教学</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B2.3.2</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B1 学校与科研院所、企业共建科研实践、实习实训基地情况</w:t>
            </w: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【可选】与行业企业共建的实验教学中心数</w:t>
            </w:r>
          </w:p>
        </w:tc>
        <w:tc>
          <w:tcPr>
            <w:tcW w:w="970" w:type="pc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与科研院所或企业、行业单位合作共赢、开放共享的实践育人机制建设，支撑本科人才培养的效果情况；对于学术型人才培养，要阐述与科研院所、企业共建科研实践、实习实训基地情况。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B2.3.3</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毕业论文（设计）选题来自教师专业实践、科研课题情况及完成质量</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【必选】以实验、实习、工程实践和社会调查等实践性工作为基础的毕业论文（设计）比例≥</w:t>
            </w:r>
            <w:r>
              <w:rPr>
                <w:rFonts w:ascii="Times New Roman" w:hAnsi="Times New Roman" w:eastAsia="宋体" w:cs="Times New Roman"/>
                <w:sz w:val="24"/>
              </w:rPr>
              <w:t>50%</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对毕业设计（论文）选题、开题、答辩等环节的全过程管理要求，对形式、内容、难度的严格监控情况及实际完成质量情况。对于学术型人才培养，要阐述毕业论文（设计）选题来自教师专业实践和科研课题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2.4</w:t>
            </w:r>
            <w:r>
              <w:rPr>
                <w:rFonts w:ascii="Times New Roman" w:hAnsi="宋体" w:eastAsia="宋体" w:cs="Times New Roman"/>
                <w:sz w:val="24"/>
              </w:rPr>
              <w:t>课堂教学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2.4.1 </w:t>
            </w:r>
            <w:r>
              <w:rPr>
                <w:rFonts w:ascii="Times New Roman" w:hAnsi="宋体" w:eastAsia="宋体" w:cs="Times New Roman"/>
                <w:sz w:val="24"/>
              </w:rPr>
              <w:t>实施</w:t>
            </w:r>
            <w:r>
              <w:rPr>
                <w:rFonts w:hint="eastAsia" w:ascii="Times New Roman" w:hAnsi="宋体" w:eastAsia="宋体" w:cs="Times New Roman"/>
                <w:sz w:val="24"/>
              </w:rPr>
              <w:t>“以学为中心、以教为主导”的课堂教学，开展以学生学习成果为导向的教学评价情况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推动课程教</w:t>
            </w:r>
            <w:r>
              <w:rPr>
                <w:rFonts w:ascii="Times New Roman" w:hAnsi="Times New Roman" w:eastAsia="宋体" w:cs="Times New Roman"/>
                <w:sz w:val="24"/>
              </w:rPr>
              <w:t>学从“以教为中心”向“以学为中心”的</w:t>
            </w:r>
            <w:r>
              <w:rPr>
                <w:rFonts w:hint="eastAsia" w:ascii="Times New Roman" w:hAnsi="Times New Roman" w:eastAsia="宋体" w:cs="Times New Roman"/>
                <w:sz w:val="24"/>
              </w:rPr>
              <w:t>转变，促进教与学、教学与科研的紧密结合情况；以学生学习成果为导向，推进教学内容及考试评价方法改革情况。</w:t>
            </w:r>
          </w:p>
        </w:tc>
        <w:tc>
          <w:tcPr>
            <w:tcW w:w="948" w:type="pct"/>
            <w:vMerge w:val="restart"/>
            <w:shd w:val="clear" w:color="auto" w:fill="auto"/>
            <w:vAlign w:val="center"/>
          </w:tcPr>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列出能够证明上述自评结果的相关材料目录索引，包括在课堂教学改革方面出台的制度文件或实施方案；教材审核选用标准和选用程序的制度规定；开展课堂教学质量评价方面的支撑材料等</w:t>
            </w: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2.4.2 </w:t>
            </w:r>
            <w:r>
              <w:rPr>
                <w:rFonts w:ascii="Times New Roman" w:hAnsi="宋体" w:eastAsia="宋体" w:cs="Times New Roman"/>
                <w:sz w:val="24"/>
              </w:rPr>
              <w:t>推进信息技术与教学过程融合、加强信息化教学环境与资源建设情况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推动互联网、大数据、人工智能、虚拟现实等现代技术在教学和管理中的应用，推</w:t>
            </w:r>
            <w:r>
              <w:rPr>
                <w:rFonts w:ascii="Times New Roman" w:hAnsi="Times New Roman" w:eastAsia="宋体" w:cs="Times New Roman"/>
                <w:sz w:val="24"/>
              </w:rPr>
              <w:t>动“互联网+高等教育”新形态信息</w:t>
            </w:r>
            <w:r>
              <w:rPr>
                <w:rFonts w:hint="eastAsia" w:ascii="Times New Roman" w:hAnsi="Times New Roman" w:eastAsia="宋体" w:cs="Times New Roman"/>
                <w:sz w:val="24"/>
              </w:rPr>
              <w:t>技术与教学过程融合，以及加强信息化教学环境与资源建设情况。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2.4.3</w:t>
            </w:r>
            <w:r>
              <w:rPr>
                <w:rFonts w:ascii="Times New Roman" w:hAnsi="宋体" w:eastAsia="宋体" w:cs="Times New Roman"/>
                <w:sz w:val="24"/>
              </w:rPr>
              <w:t>建立健全教材管理机构和工作制度情况，依照教材审核选用标准和程序选用教材情况；推进马工程重点教材统一使用情况；对教材选用工作出现负面问题的处理情况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【必选】使用马工程重点教材课程数量与学校应使用马工程重点教材课程数量的比例</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【可选】近五年公开出版的教材数</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建立健全教材管理机构和工作制度，依照教材审核选用标准和程序选用教材情况；推进马工程重点教材统一使用情况；以及在教材选用工作出现负面问题的处理情况。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K2.5</w:t>
            </w:r>
            <w:r>
              <w:rPr>
                <w:rFonts w:ascii="Times New Roman" w:hAnsi="宋体" w:eastAsia="宋体" w:cs="Times New Roman"/>
                <w:sz w:val="24"/>
              </w:rPr>
              <w:t>卓越培养</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K2.5.1</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K1 </w:t>
            </w:r>
            <w:r>
              <w:rPr>
                <w:rFonts w:ascii="Times New Roman" w:hAnsi="宋体" w:eastAsia="宋体" w:cs="Times New Roman"/>
                <w:sz w:val="24"/>
              </w:rPr>
              <w:t>科教协同拔尖人才培养模式改革及其实践效果</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【可选】基础学科拔尖学生培养计划学生数</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在人才培养模式改革方面所开展的工作及其取得的成效；对于学术型人才培养，要阐述如何推进科教协同拔尖人才培养模式改革与实践。</w:t>
            </w:r>
          </w:p>
        </w:tc>
        <w:tc>
          <w:tcPr>
            <w:tcW w:w="948" w:type="pct"/>
            <w:vMerge w:val="restart"/>
            <w:shd w:val="clear" w:color="auto" w:fill="auto"/>
            <w:vAlign w:val="center"/>
          </w:tcPr>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p>
          <w:p>
            <w:pPr>
              <w:adjustRightInd w:val="0"/>
              <w:snapToGrid w:val="0"/>
              <w:jc w:val="left"/>
              <w:rPr>
                <w:rFonts w:hint="eastAsia"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专业建设、课程建设方面的建设规划和制度文件；新工科、新医科、新文科建设方案；一流专业建设、一流课程建设规划与建设方案；优秀教材建设规划；推动改革出台的相关政策等。</w:t>
            </w:r>
          </w:p>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2.5.2 </w:t>
            </w:r>
            <w:r>
              <w:rPr>
                <w:rFonts w:ascii="Times New Roman" w:hAnsi="宋体" w:eastAsia="宋体" w:cs="Times New Roman"/>
                <w:sz w:val="24"/>
              </w:rPr>
              <w:t>加强课程体系整体设计，优化公共课、专业基础课和专业课比例结构，提高课程建设规划性、系统性情况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【必选】本科生生均课程门数</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【可选】与行业企业共建、共同讲授的课程数</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课程体系整体设计的思路；公共课、专业基础课、专业课等各类课程结构的优化情况，以及课程建设规划建设情况。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sz w:val="24"/>
              </w:rPr>
              <w:t>2.</w:t>
            </w:r>
            <w:r>
              <w:rPr>
                <w:rFonts w:ascii="Times New Roman" w:hAnsi="宋体" w:eastAsia="宋体" w:cs="Times New Roman"/>
                <w:sz w:val="24"/>
              </w:rPr>
              <w:t>培养过程</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K2.5</w:t>
            </w:r>
            <w:r>
              <w:rPr>
                <w:rFonts w:ascii="Times New Roman" w:hAnsi="宋体" w:eastAsia="宋体" w:cs="Times New Roman"/>
                <w:sz w:val="24"/>
              </w:rPr>
              <w:t>卓越培养</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2.5.3 </w:t>
            </w:r>
            <w:r>
              <w:rPr>
                <w:rFonts w:ascii="Times New Roman" w:hAnsi="宋体" w:eastAsia="宋体" w:cs="Times New Roman"/>
                <w:sz w:val="24"/>
              </w:rPr>
              <w:t>新工科、新农科、新医科、新文科建设以及围绕</w:t>
            </w:r>
            <w:r>
              <w:rPr>
                <w:rFonts w:hint="eastAsia" w:ascii="Times New Roman" w:hAnsi="宋体" w:eastAsia="宋体" w:cs="Times New Roman"/>
                <w:sz w:val="24"/>
              </w:rPr>
              <w:t>“培育高水平教学成果”开展教研教改项目建设的举措及实施成效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在新工科、新医科、新文科建设以及围绕“培育高水平教学成果”开展教研教改项目建设的举措及实施成效。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2.5.4 </w:t>
            </w:r>
            <w:r>
              <w:rPr>
                <w:rFonts w:ascii="Times New Roman" w:hAnsi="宋体" w:eastAsia="宋体" w:cs="Times New Roman"/>
                <w:sz w:val="24"/>
              </w:rPr>
              <w:t>一流专业</w:t>
            </w:r>
            <w:r>
              <w:rPr>
                <w:rFonts w:hint="eastAsia" w:ascii="Times New Roman" w:hAnsi="宋体" w:eastAsia="宋体" w:cs="Times New Roman"/>
                <w:sz w:val="24"/>
              </w:rPr>
              <w:t>“双万计划”建设举措及成效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推动一流专业建设的举措及取得的建设成效。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2.5.5 </w:t>
            </w:r>
            <w:r>
              <w:rPr>
                <w:rFonts w:ascii="Times New Roman" w:hAnsi="宋体" w:eastAsia="宋体" w:cs="Times New Roman"/>
                <w:sz w:val="24"/>
              </w:rPr>
              <w:t>一流课程</w:t>
            </w:r>
            <w:r>
              <w:rPr>
                <w:rFonts w:hint="eastAsia" w:ascii="Times New Roman" w:hAnsi="宋体" w:eastAsia="宋体" w:cs="Times New Roman"/>
                <w:sz w:val="24"/>
              </w:rPr>
              <w:t>“双万计划”建设举措及成效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推动一流课程建设的举措及取得的建设成效。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2.5.6 </w:t>
            </w:r>
            <w:r>
              <w:rPr>
                <w:rFonts w:ascii="Times New Roman" w:hAnsi="宋体" w:eastAsia="宋体" w:cs="Times New Roman"/>
                <w:sz w:val="24"/>
              </w:rPr>
              <w:t>优秀教材建设举措及成效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推动出台的优秀教材建设举措及实施成效。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2.6</w:t>
            </w:r>
            <w:r>
              <w:rPr>
                <w:rFonts w:ascii="Times New Roman" w:hAnsi="宋体" w:eastAsia="宋体" w:cs="Times New Roman"/>
                <w:sz w:val="24"/>
              </w:rPr>
              <w:t>创新创业教育</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2.6.1 </w:t>
            </w:r>
            <w:r>
              <w:rPr>
                <w:rFonts w:ascii="Times New Roman" w:hAnsi="宋体" w:eastAsia="宋体" w:cs="Times New Roman"/>
                <w:sz w:val="24"/>
              </w:rPr>
              <w:t>创新创业教育工作体系与创新创业教育平台建设情况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构建创新创业教育工作体系情况，以及是否有效运行；创新创业教育平台建设情况，包括科研基地向大学生开放情况、大学生创新创业与社会需求对接平台等。</w:t>
            </w:r>
          </w:p>
        </w:tc>
        <w:tc>
          <w:tcPr>
            <w:tcW w:w="948"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列出能够证明上述自评结果的相关材料目录索引，包括在创新创业教育方面制订出台的制度文件；高水平教师指导本科生开展创新创业训练的有关材料；国家级大学生创新创业训练计划项目数、</w:t>
            </w:r>
            <w:r>
              <w:rPr>
                <w:rFonts w:ascii="Times New Roman" w:hAnsi="Times New Roman" w:eastAsia="宋体" w:cs="Times New Roman"/>
                <w:sz w:val="24"/>
              </w:rPr>
              <w:t>“互联网+”大</w:t>
            </w:r>
            <w:r>
              <w:rPr>
                <w:rFonts w:hint="eastAsia" w:ascii="Times New Roman" w:hAnsi="Times New Roman" w:eastAsia="宋体" w:cs="Times New Roman"/>
                <w:sz w:val="24"/>
              </w:rPr>
              <w:t>学生创新创业大赛获奖项目、本科生参加国内外大赛的获奖项目、本科生发表的论文及获批国家发明专利等统计表；本科生创业典型材料等。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2.6.2 </w:t>
            </w:r>
            <w:r>
              <w:rPr>
                <w:rFonts w:ascii="Times New Roman" w:hAnsi="宋体" w:eastAsia="宋体" w:cs="Times New Roman"/>
                <w:sz w:val="24"/>
              </w:rPr>
              <w:t>将创新创业教育贯穿于人才培养全过程、融入专业教育的举措与成效</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将创新创业教育融于人才培养方案，面向全体学生所开展的因材施教、强化创新实践情况、推动举措与实施成效。</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left"/>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2.6.3 </w:t>
            </w:r>
            <w:r>
              <w:rPr>
                <w:rFonts w:ascii="Times New Roman" w:hAnsi="宋体" w:eastAsia="宋体" w:cs="Times New Roman"/>
                <w:sz w:val="24"/>
              </w:rPr>
              <w:t>学生参与创新创业教育积极性及创新创业教育成果</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【必选】本科生参加各级各类创新创业实践活动人数及比例</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w:t>
            </w:r>
            <w:r>
              <w:rPr>
                <w:rFonts w:hint="eastAsia" w:ascii="Times New Roman" w:hAnsi="宋体" w:eastAsia="宋体" w:cs="Times New Roman"/>
                <w:sz w:val="24"/>
              </w:rPr>
              <w:t>“互联网</w:t>
            </w:r>
            <w:r>
              <w:rPr>
                <w:rFonts w:ascii="Times New Roman" w:hAnsi="宋体" w:eastAsia="宋体" w:cs="Times New Roman"/>
                <w:sz w:val="24"/>
              </w:rPr>
              <w:t>+</w:t>
            </w:r>
            <w:r>
              <w:rPr>
                <w:rFonts w:hint="eastAsia" w:ascii="Times New Roman" w:hAnsi="宋体" w:eastAsia="宋体" w:cs="Times New Roman"/>
                <w:sz w:val="24"/>
              </w:rPr>
              <w:t>”大学生创新创业大赛获奖数</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【可选】省级以上学科竞赛获奖学生人次数占学生总数的比例</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创新创业的氛围情况；学生参与创新创业教育的积极性以及所取得的成果。</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sz w:val="24"/>
              </w:rPr>
              <w:t>3.</w:t>
            </w:r>
            <w:r>
              <w:rPr>
                <w:rFonts w:ascii="Times New Roman" w:hAnsi="宋体" w:eastAsia="宋体" w:cs="Times New Roman"/>
                <w:sz w:val="24"/>
              </w:rPr>
              <w:t>教学资源与利用</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3.2</w:t>
            </w:r>
            <w:r>
              <w:rPr>
                <w:rFonts w:ascii="Times New Roman" w:hAnsi="宋体" w:eastAsia="宋体" w:cs="Times New Roman"/>
                <w:sz w:val="24"/>
              </w:rPr>
              <w:t>资源建设</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B3.2.1</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优质教学资源建设及其共享情况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对于学术型人才培养，要阐述推动优质课程资源开发建设和开放共享情况，包括教材、课程资源库、案例库以及网络资源、学科与科研资源等辅助教学资源建设等。</w:t>
            </w:r>
          </w:p>
        </w:tc>
        <w:tc>
          <w:tcPr>
            <w:tcW w:w="948" w:type="pct"/>
            <w:vMerge w:val="restart"/>
            <w:shd w:val="clear" w:color="auto" w:fill="auto"/>
            <w:vAlign w:val="center"/>
          </w:tcPr>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列出能够证明上述自评结果的相关材料目录索引，包括教学资源建设与利用方面制订的制度文件、科研反哺教学方面的激励政策；</w:t>
            </w:r>
            <w:r>
              <w:rPr>
                <w:rFonts w:ascii="Times New Roman" w:hAnsi="Times New Roman" w:eastAsia="宋体" w:cs="Times New Roman"/>
                <w:sz w:val="24"/>
              </w:rPr>
              <w:t>“互联网+”教学</w:t>
            </w:r>
            <w:r>
              <w:rPr>
                <w:rFonts w:hint="eastAsia" w:ascii="Times New Roman" w:hAnsi="Times New Roman" w:eastAsia="宋体" w:cs="Times New Roman"/>
                <w:sz w:val="24"/>
              </w:rPr>
              <w:t>资源建设、高水平教材建设、智慧教室、智能实验室及学科资源、科研成果转化方面的总结材料。</w:t>
            </w:r>
          </w:p>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B3.2.2</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面向国家、行业领域需求的高水平教材建设举措与成效</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教材建设情况；对于学术型人才培养，要阐述如何鼓励和支持高水平教师面向国家、行业领域需求，编写高水平教材。</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K3.2.3</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宋体" w:eastAsia="宋体" w:cs="Times New Roman"/>
                <w:sz w:val="24"/>
              </w:rPr>
              <w:t>适应</w:t>
            </w:r>
            <w:r>
              <w:rPr>
                <w:rFonts w:hint="eastAsia" w:ascii="Times New Roman" w:hAnsi="宋体" w:eastAsia="宋体" w:cs="Times New Roman"/>
                <w:sz w:val="24"/>
              </w:rPr>
              <w:t>“互联网</w:t>
            </w:r>
            <w:r>
              <w:rPr>
                <w:rFonts w:ascii="Times New Roman" w:hAnsi="宋体" w:eastAsia="宋体" w:cs="Times New Roman"/>
                <w:sz w:val="24"/>
              </w:rPr>
              <w:t>+</w:t>
            </w:r>
            <w:r>
              <w:rPr>
                <w:rFonts w:hint="eastAsia" w:ascii="Times New Roman" w:hAnsi="宋体" w:eastAsia="宋体" w:cs="Times New Roman"/>
                <w:sz w:val="24"/>
              </w:rPr>
              <w:t>”课程教学需要的智慧教室、智能实验室等教学设施和条件建设及使用效果</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促进学生个性化学习、开放式学习和泛在学习，借助物联网技术、云计算技术和智能技术，建设适应“互联网+”课程教学需要的智慧教室、智能实验室建设情况及其使用效果。</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K3.2.4</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宋体" w:eastAsia="宋体" w:cs="Times New Roman"/>
                <w:sz w:val="24"/>
              </w:rPr>
              <w:t>近三年社会捐赠情况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宋体" w:eastAsia="宋体" w:cs="Times New Roman"/>
                <w:sz w:val="24"/>
                <w:lang w:val="en-US" w:eastAsia="zh-CN"/>
              </w:rPr>
              <w:t>2020年以来</w:t>
            </w:r>
            <w:r>
              <w:rPr>
                <w:rFonts w:ascii="Times New Roman" w:hAnsi="宋体" w:eastAsia="宋体" w:cs="Times New Roman"/>
                <w:sz w:val="24"/>
              </w:rPr>
              <w:t>社会捐赠情况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K3.2.5</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K1 </w:t>
            </w:r>
            <w:r>
              <w:rPr>
                <w:rFonts w:ascii="Times New Roman" w:hAnsi="宋体" w:eastAsia="宋体" w:cs="Times New Roman"/>
                <w:sz w:val="24"/>
              </w:rPr>
              <w:t>学科资源、科研成果转化为教学资源情况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采取有效措施，积极开拓和有效利用各类教学资源情况；对于学术型人才培养，要阐述促进学科资源转化为教育教学资源情况，包括将最新科研成果融入教学内容，转化为实验项目。</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4.</w:t>
            </w:r>
            <w:r>
              <w:rPr>
                <w:rFonts w:ascii="Times New Roman" w:hAnsi="宋体" w:eastAsia="宋体" w:cs="Times New Roman"/>
                <w:sz w:val="24"/>
              </w:rPr>
              <w:t>教师队伍</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4.1</w:t>
            </w:r>
            <w:r>
              <w:rPr>
                <w:rFonts w:ascii="Times New Roman" w:hAnsi="宋体" w:eastAsia="宋体" w:cs="Times New Roman"/>
                <w:sz w:val="24"/>
              </w:rPr>
              <w:t>师德师风</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4.1.1 </w:t>
            </w:r>
            <w:r>
              <w:rPr>
                <w:rFonts w:ascii="Times New Roman" w:hAnsi="宋体" w:eastAsia="宋体" w:cs="Times New Roman"/>
                <w:sz w:val="24"/>
              </w:rPr>
              <w:t>保障把教师思想政治建设放在首位、把师德师风作为评价教师的第一标准，强化师德教育、加强师德宣传、严格考核管理、加强制度建设，落实师德考核贯穿于教育教学全过程等方面的情况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教师评价标准的建设情况；师德师风要求体现在政策文件中情况，特别是把师德师风作为评价教师第一标准的情况；将师德考核标准贯穿于教育教学全过程的措施与成效。</w:t>
            </w:r>
          </w:p>
        </w:tc>
        <w:tc>
          <w:tcPr>
            <w:tcW w:w="948"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列出能够证明上述自评结果的相关材料目录索引，包括师德师风建设制度文件汇编；师德师风先进典型案例；加强师德师风建设宣传材料。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4.1.2 </w:t>
            </w:r>
            <w:r>
              <w:rPr>
                <w:rFonts w:ascii="Times New Roman" w:hAnsi="宋体" w:eastAsia="宋体" w:cs="Times New Roman"/>
                <w:sz w:val="24"/>
              </w:rPr>
              <w:t>教师在争做</w:t>
            </w:r>
            <w:r>
              <w:rPr>
                <w:rFonts w:hint="eastAsia" w:ascii="Times New Roman" w:hAnsi="宋体" w:eastAsia="宋体" w:cs="Times New Roman"/>
                <w:sz w:val="24"/>
              </w:rPr>
              <w:t>“四有”好老师、四个“引路人”</w:t>
            </w:r>
            <w:r>
              <w:rPr>
                <w:rFonts w:ascii="Times New Roman" w:hAnsi="宋体" w:eastAsia="宋体" w:cs="Times New Roman"/>
                <w:sz w:val="24"/>
              </w:rPr>
              <w:t>，自觉遵守《新时代高校教师职业行为十项准则》等方面的情况</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促进教师争做“四有”好老师、四个“引路人”，自觉遵守《新时代高校教师职业行为十项准则》等方面的制度、举措与成效。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4.2</w:t>
            </w:r>
            <w:r>
              <w:rPr>
                <w:rFonts w:ascii="Times New Roman" w:hAnsi="宋体" w:eastAsia="宋体" w:cs="Times New Roman"/>
                <w:sz w:val="24"/>
              </w:rPr>
              <w:t>教学能力</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B4.2.1</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专任教师的专业水平、教学能力、科研水平和能力</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专任教师队伍的专业水平和教学能力，说明能否很好地胜任教育教学工作；对于学术型人才培养，还要阐述教师的科研能力和水平，以及满足学生创新意识和创新能力培养需要情况。</w:t>
            </w:r>
          </w:p>
        </w:tc>
        <w:tc>
          <w:tcPr>
            <w:tcW w:w="948" w:type="pct"/>
            <w:vMerge w:val="restart"/>
            <w:shd w:val="clear" w:color="auto" w:fill="auto"/>
            <w:vAlign w:val="center"/>
          </w:tcPr>
          <w:p>
            <w:pPr>
              <w:pStyle w:val="2"/>
              <w:adjustRightInd w:val="0"/>
              <w:snapToGrid w:val="0"/>
              <w:spacing w:line="360" w:lineRule="auto"/>
              <w:jc w:val="both"/>
              <w:rPr>
                <w:rFonts w:hint="eastAsia" w:ascii="Times New Roman" w:hAnsi="Times New Roman" w:eastAsia="宋体" w:cs="Times New Roman"/>
                <w:kern w:val="2"/>
                <w:sz w:val="24"/>
                <w:szCs w:val="24"/>
                <w:lang w:val="en-US" w:eastAsia="zh-CN" w:bidi="ar-SA"/>
              </w:rPr>
            </w:pPr>
          </w:p>
          <w:p>
            <w:pPr>
              <w:pStyle w:val="2"/>
              <w:adjustRightInd w:val="0"/>
              <w:snapToGrid w:val="0"/>
              <w:spacing w:line="360" w:lineRule="auto"/>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列出能够证明上述自评结果的相关材料目录索引，包括制订的提升教师教学能力方面的制度文件；开展各类教师教育教学培训、教学竞赛活动等。</w:t>
            </w:r>
          </w:p>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4.2.2 </w:t>
            </w:r>
            <w:r>
              <w:rPr>
                <w:rFonts w:ascii="Times New Roman" w:hAnsi="宋体" w:eastAsia="宋体" w:cs="Times New Roman"/>
                <w:sz w:val="24"/>
              </w:rPr>
              <w:t>提升教师教书育人能力和水平的措施</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提升教师教书育人能力和水平的举措及成效，包括教师培训，建立基层教学组织，开展教育教学研究活动等。</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4.3</w:t>
            </w:r>
            <w:r>
              <w:rPr>
                <w:rFonts w:ascii="Times New Roman" w:hAnsi="宋体" w:eastAsia="宋体" w:cs="Times New Roman"/>
                <w:sz w:val="24"/>
              </w:rPr>
              <w:t>教学投入</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4.3.1 </w:t>
            </w:r>
            <w:r>
              <w:rPr>
                <w:rFonts w:ascii="Times New Roman" w:hAnsi="宋体" w:eastAsia="宋体" w:cs="Times New Roman"/>
                <w:sz w:val="24"/>
              </w:rPr>
              <w:t>教师投入教学、教授全员为本科生授课的激励与约束机制建立情况及实施效果</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【必选】主讲本科课程教授占教授总数的比例</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【必选】教授主讲本科课程人均学时数</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在推动高水平教师投入本科教育教学、推动教授给本科生上课方面所采取的激励与约束机制；制定的激励与约束机制实施效果。</w:t>
            </w:r>
          </w:p>
        </w:tc>
        <w:tc>
          <w:tcPr>
            <w:tcW w:w="948" w:type="pct"/>
            <w:vMerge w:val="restart"/>
            <w:shd w:val="clear" w:color="auto" w:fill="auto"/>
            <w:vAlign w:val="center"/>
          </w:tcPr>
          <w:p>
            <w:pPr>
              <w:adjustRightInd w:val="0"/>
              <w:snapToGrid w:val="0"/>
              <w:jc w:val="center"/>
              <w:rPr>
                <w:rFonts w:ascii="Times New Roman" w:hAnsi="Times New Roman" w:eastAsia="宋体" w:cs="Times New Roman"/>
                <w:b/>
                <w:bCs/>
                <w:sz w:val="24"/>
              </w:rPr>
            </w:pPr>
            <w:r>
              <w:rPr>
                <w:rFonts w:hint="eastAsia" w:ascii="Times New Roman" w:hAnsi="Times New Roman" w:eastAsia="宋体" w:cs="Times New Roman"/>
                <w:sz w:val="24"/>
              </w:rPr>
              <w:t>列出能够证明上述自评结果的相关材料目录索引，包括出台的鼓励教师投入教学的制度文件；教师近三年开展教学研究、教学改革方面的统计材料、原始申报材料等；教师主持省级及以上教学改革项目、课程建设项目，荣获省级及以上教学成果奖项，指导本科生学科竞赛或科创项目获得省级及以上奖项的教授和副教授人数占教授副教授总数的比例；教师科研经费中用于开展本科生学科竞赛和科创项目的金额占科研经费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4.3.2 </w:t>
            </w:r>
            <w:r>
              <w:rPr>
                <w:rFonts w:ascii="Times New Roman" w:hAnsi="宋体" w:eastAsia="宋体" w:cs="Times New Roman"/>
                <w:sz w:val="24"/>
              </w:rPr>
              <w:t>教师特别是教授和副教授开展教学研究、参与教学改革与建设情况及成效</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【必选】教授、副教授担任专业负责人的专业占专业总数的比例</w:t>
            </w:r>
          </w:p>
        </w:tc>
        <w:tc>
          <w:tcPr>
            <w:tcW w:w="970" w:type="pct"/>
            <w:shd w:val="clear" w:color="auto" w:fill="auto"/>
            <w:vAlign w:val="center"/>
          </w:tcPr>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sz w:val="24"/>
              </w:rPr>
              <w:t>广大教师，特别是教授、副教授开展教学研究、参与教学改革与建设，包括教学改革、专业建设、课程建设和教材建设等实际情况。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4.4</w:t>
            </w:r>
            <w:r>
              <w:rPr>
                <w:rFonts w:ascii="Times New Roman" w:hAnsi="宋体" w:eastAsia="宋体" w:cs="Times New Roman"/>
                <w:sz w:val="24"/>
              </w:rPr>
              <w:t>教师发展</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4.4.1 </w:t>
            </w:r>
            <w:r>
              <w:rPr>
                <w:rFonts w:ascii="Times New Roman" w:hAnsi="宋体" w:eastAsia="宋体" w:cs="Times New Roman"/>
                <w:sz w:val="24"/>
              </w:rPr>
              <w:t>重视教师培训与职业发展，把习近平总书记关于教育的重要论述作为核心培训课程，把《习近平总书记教育重要论述讲义》作为核心培训教材，加强思政与党务工作队伍建设的举措与成效</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制定教师培训与职业发展规划、培训工作计划及执行情况；是否按要求把习近平总书记关于教育的重要论述作为核心培训课程、把《习近平总书记教育重要论述讲义》作为核心培训教材？广大教师是否学深悟透，并能自觉运用；重视并加强思政与党务工作队伍建设所采取的举措与成效。</w:t>
            </w:r>
          </w:p>
        </w:tc>
        <w:tc>
          <w:tcPr>
            <w:tcW w:w="948" w:type="pct"/>
            <w:vMerge w:val="restart"/>
            <w:shd w:val="clear" w:color="auto" w:fill="auto"/>
            <w:vAlign w:val="center"/>
          </w:tcPr>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制订出台的加强师资队伍建设制度文件；教师队伍建设及发展规划；基层教学组织设置情况及其培训本校教师的人时数（人数×时间）占教师总数的比例；近三年教师赴国（境）外交流、访学、参加国际会议、合作研究情况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4.4.2 </w:t>
            </w:r>
            <w:r>
              <w:rPr>
                <w:rFonts w:ascii="Times New Roman" w:hAnsi="宋体" w:eastAsia="宋体" w:cs="Times New Roman"/>
                <w:sz w:val="24"/>
              </w:rPr>
              <w:t>加强教师教学发展中心、基层教学组织和青年教师队伍建设举措与成效</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【必选】设有基层教学组织的专业占专业总数的比例</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【可选】教师发展中心培训本校教师的比例</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重视教师教学发展与培训，在加强基层教学组织（或教学团队）和青年教师队伍建设等方面的措施与成效。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B4.4.3</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提升教师教学能力、实践能力、科研能力、信息技术应用能力的政策措施</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在提升教师教学能力、信息技术应用能力方面制定的政策、实施的措施及取得的成效；对于学术型人才培养，还要阐述如何培养教师的科研能力和实践能力。</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B4.4.4</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教师队伍分类管理与建设情况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教师分类管理和分类评价办法，分类分层次分学科设置的评价内容和评价方式。</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K4.4.5 </w:t>
            </w:r>
            <w:r>
              <w:rPr>
                <w:rFonts w:ascii="Times New Roman" w:hAnsi="宋体" w:eastAsia="宋体" w:cs="Times New Roman"/>
                <w:sz w:val="24"/>
              </w:rPr>
              <w:t>教师赴国（境）外交流、访学、参加国际会议、合作研究等情况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鼓励教师赴国（境）外交流、访学、参加国际会议、合作研究的政策、实施情况和效果。</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5.</w:t>
            </w:r>
            <w:r>
              <w:rPr>
                <w:rFonts w:ascii="Times New Roman" w:hAnsi="宋体" w:eastAsia="宋体" w:cs="Times New Roman"/>
                <w:sz w:val="24"/>
              </w:rPr>
              <w:t>学生发展</w:t>
            </w: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5.1</w:t>
            </w:r>
            <w:r>
              <w:rPr>
                <w:rFonts w:ascii="Times New Roman" w:hAnsi="宋体" w:eastAsia="宋体" w:cs="Times New Roman"/>
                <w:sz w:val="24"/>
              </w:rPr>
              <w:t>理想信念</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5.1.1 </w:t>
            </w:r>
            <w:r>
              <w:rPr>
                <w:rFonts w:ascii="Times New Roman" w:hAnsi="宋体" w:eastAsia="宋体" w:cs="Times New Roman"/>
                <w:sz w:val="24"/>
              </w:rPr>
              <w:t>学生理想信念和品德修养</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在加强学生理想信念和提高品德修养方面的举措及成效；广大学生的理想信念、道德品质和行为习惯情况。</w:t>
            </w:r>
          </w:p>
        </w:tc>
        <w:tc>
          <w:tcPr>
            <w:tcW w:w="948" w:type="pct"/>
            <w:vMerge w:val="restart"/>
            <w:shd w:val="clear" w:color="auto" w:fill="auto"/>
            <w:vAlign w:val="center"/>
          </w:tcPr>
          <w:p>
            <w:pPr>
              <w:adjustRightInd w:val="0"/>
              <w:snapToGrid w:val="0"/>
              <w:jc w:val="both"/>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列出能够证明上述自评结果的相关材料目录索引，包括制订的加强学风建设的制度文件；所开展的教育引导学生爱国、励志、求真、力行等活动有关材料等。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5.</w:t>
            </w:r>
            <w:r>
              <w:rPr>
                <w:rFonts w:ascii="Times New Roman" w:hAnsi="宋体" w:eastAsia="宋体" w:cs="Times New Roman"/>
                <w:sz w:val="24"/>
              </w:rPr>
              <w:t>学生发展</w:t>
            </w: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5.1</w:t>
            </w:r>
            <w:r>
              <w:rPr>
                <w:rFonts w:ascii="Times New Roman" w:hAnsi="宋体" w:eastAsia="宋体" w:cs="Times New Roman"/>
                <w:sz w:val="24"/>
              </w:rPr>
              <w:t>理想信念</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宋体" w:eastAsia="宋体" w:cs="Times New Roman"/>
                <w:sz w:val="24"/>
              </w:rPr>
            </w:pPr>
            <w:r>
              <w:rPr>
                <w:rFonts w:ascii="Times New Roman" w:hAnsi="Times New Roman" w:eastAsia="宋体" w:cs="Times New Roman"/>
                <w:sz w:val="24"/>
              </w:rPr>
              <w:t xml:space="preserve">5.1.2 </w:t>
            </w:r>
            <w:r>
              <w:rPr>
                <w:rFonts w:ascii="Times New Roman" w:hAnsi="宋体" w:eastAsia="宋体" w:cs="Times New Roman"/>
                <w:sz w:val="24"/>
              </w:rPr>
              <w:t>加强学风建设，教育引导学生爱国、励志、求真、力行情况</w:t>
            </w:r>
          </w:p>
          <w:p>
            <w:pPr>
              <w:pStyle w:val="2"/>
              <w:rPr>
                <w:rFonts w:ascii="Times New Roman" w:hAnsi="宋体" w:eastAsia="宋体" w:cs="Times New Roman"/>
                <w:sz w:val="24"/>
              </w:rPr>
            </w:pPr>
          </w:p>
          <w:p>
            <w:pPr>
              <w:pStyle w:val="2"/>
              <w:rPr>
                <w:rFonts w:ascii="Times New Roman" w:hAnsi="宋体" w:eastAsia="宋体" w:cs="Times New Roman"/>
                <w:sz w:val="24"/>
              </w:rPr>
            </w:pPr>
          </w:p>
          <w:p>
            <w:pPr>
              <w:pStyle w:val="2"/>
              <w:rPr>
                <w:rFonts w:ascii="Times New Roman" w:hAnsi="宋体" w:eastAsia="宋体" w:cs="Times New Roman"/>
                <w:sz w:val="24"/>
              </w:rPr>
            </w:pP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深入学习贯彻习近平总书记在北京大学师生座谈会上的重要讲话精神，教育引导学生为国家发展，为追求真理而勤奋学习、奋发图强情况；加强学风建设的举措及成效。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5.2</w:t>
            </w:r>
            <w:r>
              <w:rPr>
                <w:rFonts w:ascii="Times New Roman" w:hAnsi="宋体" w:eastAsia="宋体" w:cs="Times New Roman"/>
                <w:sz w:val="24"/>
              </w:rPr>
              <w:t>学业成绩及综合素质</w:t>
            </w: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B5.2.1</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学生基础理论、知识面和创新能力</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【可选】本科生以第一作者</w:t>
            </w:r>
            <w:r>
              <w:rPr>
                <w:rFonts w:ascii="Times New Roman" w:hAnsi="Times New Roman" w:eastAsia="宋体" w:cs="Times New Roman"/>
                <w:sz w:val="24"/>
              </w:rPr>
              <w:t>/</w:t>
            </w:r>
            <w:r>
              <w:rPr>
                <w:rFonts w:ascii="Times New Roman" w:hAnsi="宋体" w:eastAsia="宋体" w:cs="Times New Roman"/>
                <w:sz w:val="24"/>
              </w:rPr>
              <w:t>通讯作者在公开发行期刊发表的论文数和本科生获批国家发明专利数</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如何重视学生的理论知识学习和综合能力培养，以及学生的学业成绩及综合素质表现情况；对于学术型人才培养，要阐述学生的基础理论、知识面和创新能力情况。</w:t>
            </w:r>
          </w:p>
        </w:tc>
        <w:tc>
          <w:tcPr>
            <w:tcW w:w="948" w:type="pct"/>
            <w:vMerge w:val="restar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列出能够证明上述自评结果的相关材料目录索引，包括加强学生综合素质培养方面的有关文件；学生发表的论文、获批的专利情况统计表；学生参加社团活动、校园文化、社会实践、志愿服务等活动资料。</w:t>
            </w:r>
          </w:p>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5.2.2 </w:t>
            </w:r>
            <w:r>
              <w:rPr>
                <w:rFonts w:ascii="Times New Roman" w:hAnsi="宋体" w:eastAsia="宋体" w:cs="Times New Roman"/>
                <w:sz w:val="24"/>
              </w:rPr>
              <w:t>开展通识教育、体育、美育、劳动教育的措施与成效</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【必选】体质测试达标率</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贯彻落实中共中央、国务院关于加强新时代体育、美育、劳动教育有关政策文件精神，推进体育、美育、劳动教育教学改革的措施及成效。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5.2.3 </w:t>
            </w:r>
            <w:r>
              <w:rPr>
                <w:rFonts w:ascii="Times New Roman" w:hAnsi="宋体" w:eastAsia="宋体" w:cs="Times New Roman"/>
                <w:sz w:val="24"/>
              </w:rPr>
              <w:t>社团活动、校园文化、社会实践、志愿服务等活动开展情况及育人效果</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【可选】省级以上艺术展演、体育竞赛参赛获奖学生人次数占学生总数的比例</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为培养学生综合素质所开展的社团活动、校园环境和校园文化建设、社会实践、志愿服务活动等情况以及取得的效果。</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K5.3</w:t>
            </w:r>
            <w:r>
              <w:rPr>
                <w:rFonts w:ascii="Times New Roman" w:hAnsi="宋体" w:eastAsia="宋体" w:cs="Times New Roman"/>
                <w:sz w:val="24"/>
              </w:rPr>
              <w:t>国际视野</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 5.3.1 </w:t>
            </w:r>
            <w:r>
              <w:rPr>
                <w:rFonts w:ascii="Times New Roman" w:hAnsi="宋体" w:eastAsia="宋体" w:cs="Times New Roman"/>
                <w:sz w:val="24"/>
              </w:rPr>
              <w:t>与国（境）外大学合作办学、合作育人以及与本科教育相关的国际交流活动和来华留学生教育开展情况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主动服务国家对外开放战略，积极融</w:t>
            </w:r>
            <w:r>
              <w:rPr>
                <w:rFonts w:ascii="Times New Roman" w:hAnsi="Times New Roman" w:eastAsia="宋体" w:cs="Times New Roman"/>
                <w:sz w:val="24"/>
              </w:rPr>
              <w:t>入“一带一路”建设</w:t>
            </w:r>
            <w:r>
              <w:rPr>
                <w:rFonts w:hint="eastAsia" w:ascii="Times New Roman" w:hAnsi="Times New Roman" w:eastAsia="宋体" w:cs="Times New Roman"/>
                <w:sz w:val="24"/>
              </w:rPr>
              <w:t>，推动国际交流与合作，与国（境）外高水平大学开展联合办学、联合培养等具体做法、采取的举措与取得的成效；吸引外国留学生来华学习的举措及来华留学生教育质量情况。</w:t>
            </w:r>
          </w:p>
        </w:tc>
        <w:tc>
          <w:tcPr>
            <w:tcW w:w="948" w:type="pct"/>
            <w:tcBorders>
              <w:bottom w:val="nil"/>
            </w:tcBorders>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K5.3.2 </w:t>
            </w:r>
            <w:r>
              <w:rPr>
                <w:rFonts w:ascii="Times New Roman" w:hAnsi="宋体" w:eastAsia="宋体" w:cs="Times New Roman"/>
                <w:sz w:val="24"/>
              </w:rPr>
              <w:t>国际先进教育理念、优质教育资源的吸收内化、培育和输出共享情况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将国际先进教育理念贯彻落实到人才培养过程中的情况；吸收利用国（境）外优质教育资源（教材、网络课程、专业设计软件等）以及输出共享情况。</w:t>
            </w:r>
          </w:p>
        </w:tc>
        <w:tc>
          <w:tcPr>
            <w:tcW w:w="948" w:type="pct"/>
            <w:vMerge w:val="restart"/>
            <w:tcBorders>
              <w:top w:val="nil"/>
            </w:tcBorders>
            <w:shd w:val="clear" w:color="auto" w:fill="auto"/>
            <w:vAlign w:val="top"/>
          </w:tcPr>
          <w:p>
            <w:pPr>
              <w:adjustRightInd w:val="0"/>
              <w:snapToGrid w:val="0"/>
              <w:jc w:val="left"/>
              <w:rPr>
                <w:rFonts w:hint="eastAsia"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列出能够证明上述自评结果的相关材料目录索引，包括国际化发展战略规划或相关文件；激励教师、本科生开展国际合作交流方面的政策等。</w:t>
            </w:r>
          </w:p>
          <w:p>
            <w:pPr>
              <w:adjustRightInd w:val="0"/>
              <w:snapToGrid w:val="0"/>
              <w:ind w:firstLine="482"/>
              <w:jc w:val="left"/>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K5.3.3 </w:t>
            </w:r>
            <w:r>
              <w:rPr>
                <w:rFonts w:ascii="Times New Roman" w:hAnsi="宋体" w:eastAsia="宋体" w:cs="Times New Roman"/>
                <w:sz w:val="24"/>
              </w:rPr>
              <w:t>学生赴国（境）外交流、访学、实习、竞赛、参加国际会议、合作研究等情况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【可选】在学期间赴国（境）外交流、访学、实习的学生数占在校生数的比例</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鼓励学生赴国（境）外高校交流、访学，实习、竞赛、参加国际会议、开展合作研究的激励政策及提供的国（境）外跨校和跨文化学习交流的机会，以及实施的实际效果。</w:t>
            </w:r>
          </w:p>
        </w:tc>
        <w:tc>
          <w:tcPr>
            <w:tcW w:w="948" w:type="pct"/>
            <w:vMerge w:val="continue"/>
            <w:shd w:val="clear" w:color="auto" w:fill="auto"/>
            <w:vAlign w:val="center"/>
          </w:tcPr>
          <w:p>
            <w:pPr>
              <w:adjustRightInd w:val="0"/>
              <w:snapToGrid w:val="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5.</w:t>
            </w:r>
            <w:r>
              <w:rPr>
                <w:rFonts w:ascii="Times New Roman" w:hAnsi="宋体" w:eastAsia="宋体" w:cs="Times New Roman"/>
                <w:sz w:val="24"/>
              </w:rPr>
              <w:t>学生发展</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5.4</w:t>
            </w:r>
            <w:r>
              <w:rPr>
                <w:rFonts w:ascii="Times New Roman" w:hAnsi="宋体" w:eastAsia="宋体" w:cs="Times New Roman"/>
                <w:sz w:val="24"/>
              </w:rPr>
              <w:t>支持服务</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5.4.1 </w:t>
            </w:r>
            <w:r>
              <w:rPr>
                <w:rFonts w:ascii="Times New Roman" w:hAnsi="宋体" w:eastAsia="宋体" w:cs="Times New Roman"/>
                <w:sz w:val="24"/>
              </w:rPr>
              <w:t>领导干部和教师参与学生工作的情况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贯彻落实《中共教育部党组关于加强和改进高校领导干部深入基层联系学生工作的通知》（教党函〔</w:t>
            </w:r>
            <w:r>
              <w:rPr>
                <w:rFonts w:ascii="Times New Roman" w:hAnsi="Times New Roman" w:eastAsia="宋体" w:cs="Times New Roman"/>
                <w:sz w:val="24"/>
              </w:rPr>
              <w:t>2019</w:t>
            </w:r>
            <w:r>
              <w:rPr>
                <w:rFonts w:hint="eastAsia" w:ascii="Times New Roman" w:hAnsi="Times New Roman" w:eastAsia="宋体" w:cs="Times New Roman"/>
                <w:sz w:val="24"/>
              </w:rPr>
              <w:t>〕</w:t>
            </w:r>
            <w:r>
              <w:rPr>
                <w:rFonts w:ascii="Times New Roman" w:hAnsi="Times New Roman" w:eastAsia="宋体" w:cs="Times New Roman"/>
                <w:sz w:val="24"/>
              </w:rPr>
              <w:t>34</w:t>
            </w:r>
            <w:r>
              <w:rPr>
                <w:rFonts w:hint="eastAsia" w:ascii="Times New Roman" w:hAnsi="Times New Roman" w:eastAsia="宋体" w:cs="Times New Roman"/>
                <w:sz w:val="24"/>
              </w:rPr>
              <w:t>号）要求，推动领导干部和教师参与学生工作的举措及效果，包括参与面、参与程度和参与效果。</w:t>
            </w:r>
          </w:p>
        </w:tc>
        <w:tc>
          <w:tcPr>
            <w:tcW w:w="948" w:type="pct"/>
            <w:vMerge w:val="restart"/>
            <w:shd w:val="clear" w:color="auto" w:fill="auto"/>
            <w:vAlign w:val="center"/>
          </w:tcPr>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hint="eastAsia" w:ascii="Times New Roman" w:hAnsi="Times New Roman" w:eastAsia="宋体" w:cs="Times New Roman"/>
                <w:sz w:val="24"/>
              </w:rPr>
            </w:pPr>
          </w:p>
          <w:p>
            <w:pPr>
              <w:adjustRightInd w:val="0"/>
              <w:snapToGrid w:val="0"/>
              <w:jc w:val="both"/>
              <w:rPr>
                <w:rFonts w:ascii="Times New Roman" w:hAnsi="Times New Roman" w:eastAsia="宋体" w:cs="Times New Roman"/>
                <w:b/>
                <w:bCs/>
                <w:sz w:val="24"/>
              </w:rPr>
            </w:pPr>
            <w:r>
              <w:rPr>
                <w:rFonts w:hint="eastAsia" w:ascii="Times New Roman" w:hAnsi="Times New Roman" w:eastAsia="宋体" w:cs="Times New Roman"/>
                <w:sz w:val="24"/>
              </w:rPr>
              <w:t>列出能够证明上述自评结果的相关材料目录索引，包括制订的学生发展支持服务方面的制度文件；学分制改革和弹性学习、辅修专业、双学士学位专业学习的制度文件；开展学生成长增值评价、学习体验等的相关材料；本科生导师制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5.4.2 </w:t>
            </w:r>
            <w:r>
              <w:rPr>
                <w:rFonts w:ascii="Times New Roman" w:hAnsi="宋体" w:eastAsia="宋体" w:cs="Times New Roman"/>
                <w:sz w:val="24"/>
              </w:rPr>
              <w:t>学校开展学生指导服务工作（学业、职业生涯规划、就业、家庭经济困难学生资助、心理健康咨询等）情况，学业导师、心理辅导教师、校医等配备及师生交流活动专门场所建设情况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【必选】专职辅导员岗位与在校生比例≥</w:t>
            </w:r>
            <w:r>
              <w:rPr>
                <w:rFonts w:ascii="Times New Roman" w:hAnsi="Times New Roman" w:eastAsia="宋体" w:cs="Times New Roman"/>
                <w:sz w:val="24"/>
              </w:rPr>
              <w:t>1:200</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【必选】专职从事心理健康教育教师与在校生比例≥</w:t>
            </w:r>
            <w:r>
              <w:rPr>
                <w:rFonts w:ascii="Times New Roman" w:hAnsi="Times New Roman" w:eastAsia="宋体" w:cs="Times New Roman"/>
                <w:sz w:val="24"/>
              </w:rPr>
              <w:t>1:4000</w:t>
            </w:r>
            <w:r>
              <w:rPr>
                <w:rFonts w:ascii="Times New Roman" w:hAnsi="宋体" w:eastAsia="宋体" w:cs="Times New Roman"/>
                <w:sz w:val="24"/>
              </w:rPr>
              <w:t>且至少</w:t>
            </w:r>
            <w:r>
              <w:rPr>
                <w:rFonts w:ascii="Times New Roman" w:hAnsi="Times New Roman" w:eastAsia="宋体" w:cs="Times New Roman"/>
                <w:sz w:val="24"/>
              </w:rPr>
              <w:t>2</w:t>
            </w:r>
            <w:r>
              <w:rPr>
                <w:rFonts w:ascii="Times New Roman" w:hAnsi="宋体" w:eastAsia="宋体" w:cs="Times New Roman"/>
                <w:sz w:val="24"/>
              </w:rPr>
              <w:t>名</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【必选】专职就业指导教师和专职就业工作人员与应届毕业生比例</w:t>
            </w:r>
            <w:r>
              <w:rPr>
                <w:rFonts w:ascii="宋体" w:hAnsi="宋体" w:eastAsia="宋体" w:cs="Times New Roman"/>
                <w:sz w:val="24"/>
              </w:rPr>
              <w:t>≥</w:t>
            </w:r>
            <w:r>
              <w:rPr>
                <w:rFonts w:ascii="Times New Roman" w:hAnsi="Times New Roman" w:eastAsia="宋体" w:cs="Times New Roman"/>
                <w:sz w:val="24"/>
              </w:rPr>
              <w:t>1:500</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学生指导服务体系及场地设施建立情况，包括配备专门教师和校医，提供必要的场地、设备和条件等；学业指导、职业生涯规划指导、就业指导和大学生健康心理咨询的开展情况；对家庭经济困难学生的资助情况等。</w:t>
            </w:r>
          </w:p>
        </w:tc>
        <w:tc>
          <w:tcPr>
            <w:tcW w:w="948" w:type="pct"/>
            <w:vMerge w:val="continue"/>
            <w:shd w:val="clear" w:color="auto" w:fill="auto"/>
            <w:vAlign w:val="center"/>
          </w:tcPr>
          <w:p>
            <w:pPr>
              <w:adjustRightInd w:val="0"/>
              <w:snapToGrid w:val="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5.4.3 </w:t>
            </w:r>
            <w:r>
              <w:rPr>
                <w:rFonts w:ascii="Times New Roman" w:hAnsi="宋体" w:eastAsia="宋体" w:cs="Times New Roman"/>
                <w:sz w:val="24"/>
              </w:rPr>
              <w:t>与学分制改革和弹性学习相适应的管理制度、辅修专业制度、双学士学位制度建设情况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推进学分制改革和弹性学习的具体措施和相适应的管理制度；开展辅修专业、双学士学位专业学习情况及其学生受益面等。</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K5.4.4 </w:t>
            </w:r>
            <w:r>
              <w:rPr>
                <w:rFonts w:ascii="Times New Roman" w:hAnsi="宋体" w:eastAsia="宋体" w:cs="Times New Roman"/>
                <w:sz w:val="24"/>
              </w:rPr>
              <w:t>探索学生成长增值评价，重视学生学习体验、自我发展能力和职业发展能力的具体措施及实施成效</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阐述探索学生成长增值评价，不仅关注学生学习过程最后产出，更看重学习过程所带来的增长情况；本科生导师制开展情况；注重学生学习体验，培养学生自我发展能力和职业发展能力的具体措施与实施成效。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6.</w:t>
            </w:r>
            <w:r>
              <w:rPr>
                <w:rFonts w:ascii="Times New Roman" w:hAnsi="宋体" w:eastAsia="宋体" w:cs="Times New Roman"/>
                <w:sz w:val="24"/>
              </w:rPr>
              <w:t>质量保障</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6.1</w:t>
            </w:r>
            <w:r>
              <w:rPr>
                <w:rFonts w:ascii="Times New Roman" w:hAnsi="宋体" w:eastAsia="宋体" w:cs="Times New Roman"/>
                <w:sz w:val="24"/>
              </w:rPr>
              <w:t>质量管理</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6.1.1 </w:t>
            </w:r>
            <w:r>
              <w:rPr>
                <w:rFonts w:ascii="Times New Roman" w:hAnsi="宋体" w:eastAsia="宋体" w:cs="Times New Roman"/>
                <w:sz w:val="24"/>
              </w:rPr>
              <w:t>学校质量标准、质量管理制度、质量保障机构及队伍建设情况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根据自身办学定位和人才培养目标，构建的各教学环节（课堂教学、实习、实验、毕业设计等）的质量标准情况；质量管理制度文件的制订及执行情况；质量监控、督导队伍建设情况。</w:t>
            </w:r>
          </w:p>
        </w:tc>
        <w:tc>
          <w:tcPr>
            <w:tcW w:w="948"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列出能够证明上述自评结果的相关材料目录索引，包括制订的质量管理制度文件；质量标准体系文件；质量监控机构设置文件；严格考试管理、端正考纪考风方面的材料等。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6.1.2 </w:t>
            </w:r>
            <w:r>
              <w:rPr>
                <w:rFonts w:ascii="Times New Roman" w:hAnsi="宋体" w:eastAsia="宋体" w:cs="Times New Roman"/>
                <w:sz w:val="24"/>
              </w:rPr>
              <w:t>加强考试管理、严肃考试纪律、完善过程性考核与结果性考核有机结合的学业考评制度、严把考试和毕业出口关的情况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加强考风建设，出台的加强考试管理、严肃考试纪律的制度文件及执行情况；加强过程性考核与结果性考核有机结合，能力与知识考核并重的多元化学业考核评价体系情况；本科毕业论文（设计）抽检结果；对毕业设计（论文）选题、开题、答辩等环节的全过程管理，严把毕业出口关等情况。</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6.2</w:t>
            </w:r>
            <w:r>
              <w:rPr>
                <w:rFonts w:ascii="Times New Roman" w:hAnsi="宋体" w:eastAsia="宋体" w:cs="Times New Roman"/>
                <w:sz w:val="24"/>
              </w:rPr>
              <w:t>质量改进</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6.2.1 </w:t>
            </w:r>
            <w:r>
              <w:rPr>
                <w:rFonts w:ascii="Times New Roman" w:hAnsi="宋体" w:eastAsia="宋体" w:cs="Times New Roman"/>
                <w:sz w:val="24"/>
              </w:rPr>
              <w:t>学校内部质量评估制度的建立及接受外部评估（含院校评估、专业认证等）情况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内部质量监测与评估机制建设及运行情况，包括定期开展的评教、评学以及教学工作评估、专业评估、课程评估等；参加教育行政部门、社会第三方组织的外部教学评估，包括专业认证等情况。</w:t>
            </w:r>
          </w:p>
        </w:tc>
        <w:tc>
          <w:tcPr>
            <w:tcW w:w="948" w:type="pct"/>
            <w:vMerge w:val="restart"/>
            <w:shd w:val="clear" w:color="auto" w:fill="auto"/>
            <w:vAlign w:val="center"/>
          </w:tcPr>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制订的质量改进制度文件；开展自评估，包括评教、评学以及教学工作评估、专业评估、课程评估等相关资料；接受第三方评估、专业认证等有关情况；质量改进及对纠正与改进措施的有效性评价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6.2.2</w:t>
            </w:r>
            <w:r>
              <w:rPr>
                <w:rFonts w:ascii="Times New Roman" w:hAnsi="宋体" w:eastAsia="宋体" w:cs="Times New Roman"/>
                <w:sz w:val="24"/>
              </w:rPr>
              <w:t>质量持续改进机制建设与改进效果</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建立的质量评价</w:t>
            </w:r>
            <w:r>
              <w:rPr>
                <w:rFonts w:ascii="Times New Roman" w:hAnsi="Times New Roman" w:eastAsia="宋体" w:cs="Times New Roman"/>
                <w:sz w:val="24"/>
              </w:rPr>
              <w:t>-</w:t>
            </w:r>
            <w:r>
              <w:rPr>
                <w:rFonts w:hint="eastAsia" w:ascii="Times New Roman" w:hAnsi="Times New Roman" w:eastAsia="宋体" w:cs="Times New Roman"/>
                <w:sz w:val="24"/>
              </w:rPr>
              <w:t>反馈</w:t>
            </w:r>
            <w:r>
              <w:rPr>
                <w:rFonts w:ascii="Times New Roman" w:hAnsi="Times New Roman" w:eastAsia="宋体" w:cs="Times New Roman"/>
                <w:sz w:val="24"/>
              </w:rPr>
              <w:t>-</w:t>
            </w:r>
            <w:r>
              <w:rPr>
                <w:rFonts w:hint="eastAsia" w:ascii="Times New Roman" w:hAnsi="Times New Roman" w:eastAsia="宋体" w:cs="Times New Roman"/>
                <w:sz w:val="24"/>
              </w:rPr>
              <w:t>持续改进机制及运行情况；对教学质量存在的问题进行分析并制定改进的措施及落实效果。建立的质量持续改进机制并持续运行情况；对内部、外部教学评估中存在的问题，制定纠正与改进方案和措施，配备资源，进行质量改进，并对纠正与改进措施的有效性适时进行评价情况；质量改进取得的成效。</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6.</w:t>
            </w:r>
            <w:r>
              <w:rPr>
                <w:rFonts w:ascii="Times New Roman" w:hAnsi="宋体" w:eastAsia="宋体" w:cs="Times New Roman"/>
                <w:sz w:val="24"/>
              </w:rPr>
              <w:t>质量保障</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6.3</w:t>
            </w:r>
            <w:r>
              <w:rPr>
                <w:rFonts w:ascii="Times New Roman" w:hAnsi="宋体" w:eastAsia="宋体" w:cs="Times New Roman"/>
                <w:sz w:val="24"/>
              </w:rPr>
              <w:t>质量文化</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6.3.1 自觉、自省、自律、自查、自纠的质量文化建设情况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加强自觉、自省、自律、自查、自纠的质量文化建设情况；将质量意识、质量标准、质量评价、质量管理等落实到教育教学各环节措施与取得成效。</w:t>
            </w:r>
          </w:p>
        </w:tc>
        <w:tc>
          <w:tcPr>
            <w:tcW w:w="948" w:type="pct"/>
            <w:vMerge w:val="restart"/>
            <w:shd w:val="clear" w:color="auto" w:fill="auto"/>
            <w:vAlign w:val="center"/>
          </w:tcPr>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hint="eastAsia"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制订的加强质量文化建设的制度文件；近三年提交的《本科教学质量报告》、《就业质量年度报告》；在质量文化建设方面的宣传、报道材料等；培养目标、毕业要求、课程标准公开的载体、过程记录及体现宣贯成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6.3.2</w:t>
            </w:r>
            <w:r>
              <w:rPr>
                <w:rFonts w:ascii="Times New Roman" w:hAnsi="宋体" w:eastAsia="宋体" w:cs="Times New Roman"/>
                <w:sz w:val="24"/>
              </w:rPr>
              <w:t>质量信息公开制度及年度质量报告</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质量信息，包括招生情况、教师队伍与教学条件、学生就业情况等公开制度建立与执行情况；年度《本科教学质量报告》、《就业质量年度报告》撰写提交以及信息内容的真实、准确、及时和全面性情况；培养目标、毕业要求、课程教学大纲公开的举措及面向学生宣贯的成效。</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7.</w:t>
            </w:r>
            <w:r>
              <w:rPr>
                <w:rFonts w:ascii="Times New Roman" w:hAnsi="宋体" w:eastAsia="宋体" w:cs="Times New Roman"/>
                <w:sz w:val="24"/>
              </w:rPr>
              <w:t>教学成效</w:t>
            </w: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7.1</w:t>
            </w:r>
            <w:r>
              <w:rPr>
                <w:rFonts w:ascii="Times New Roman" w:hAnsi="宋体" w:eastAsia="宋体" w:cs="Times New Roman"/>
                <w:sz w:val="24"/>
              </w:rPr>
              <w:t>达成度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7.1.1 </w:t>
            </w:r>
            <w:r>
              <w:rPr>
                <w:rFonts w:ascii="Times New Roman" w:hAnsi="宋体" w:eastAsia="宋体" w:cs="Times New Roman"/>
                <w:sz w:val="24"/>
              </w:rPr>
              <w:t>学校各专业人才培养目标的达成情况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专业人才培养目标的达成评价方法、评价重点以及评价的结论。</w:t>
            </w:r>
          </w:p>
        </w:tc>
        <w:tc>
          <w:tcPr>
            <w:tcW w:w="948"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列出能够证明上述自评结果的相关材料目录索引，包括对毕业生质量持续跟踪评价的制度文件；对毕业生职业发展、用人单位以及相关各方的跟踪调查资料等。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7.1.2 </w:t>
            </w:r>
            <w:r>
              <w:rPr>
                <w:rFonts w:ascii="Times New Roman" w:hAnsi="宋体" w:eastAsia="宋体" w:cs="Times New Roman"/>
                <w:sz w:val="24"/>
              </w:rPr>
              <w:t>毕业生质量持续跟踪评价机制建立情况及跟踪评价结果</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毕业生质量持续跟踪评价机制建立及实施情况；近三年毕业生质量持续跟踪评价结果。</w:t>
            </w:r>
          </w:p>
        </w:tc>
        <w:tc>
          <w:tcPr>
            <w:tcW w:w="948" w:type="pct"/>
            <w:vMerge w:val="continue"/>
            <w:shd w:val="clear" w:color="auto" w:fill="auto"/>
            <w:vAlign w:val="center"/>
          </w:tcPr>
          <w:p>
            <w:pPr>
              <w:adjustRightInd w:val="0"/>
              <w:snapToGrid w:val="0"/>
              <w:ind w:firstLine="482"/>
              <w:jc w:val="center"/>
              <w:rPr>
                <w:rFonts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trPr>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7.2</w:t>
            </w:r>
            <w:r>
              <w:rPr>
                <w:rFonts w:ascii="Times New Roman" w:hAnsi="宋体" w:eastAsia="宋体" w:cs="Times New Roman"/>
                <w:sz w:val="24"/>
              </w:rPr>
              <w:t>适应度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7.2.1 </w:t>
            </w:r>
            <w:r>
              <w:rPr>
                <w:rFonts w:ascii="Times New Roman" w:hAnsi="宋体" w:eastAsia="宋体" w:cs="Times New Roman"/>
                <w:sz w:val="24"/>
              </w:rPr>
              <w:t>学校本科生源状况</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近三年本科生生源情况分析。</w:t>
            </w:r>
          </w:p>
        </w:tc>
        <w:tc>
          <w:tcPr>
            <w:tcW w:w="948" w:type="pct"/>
            <w:vMerge w:val="restart"/>
            <w:shd w:val="clear" w:color="auto" w:fill="auto"/>
            <w:vAlign w:val="center"/>
          </w:tcPr>
          <w:p>
            <w:pPr>
              <w:pStyle w:val="2"/>
              <w:adjustRightInd w:val="0"/>
              <w:snapToGrid w:val="0"/>
              <w:spacing w:line="360" w:lineRule="auto"/>
              <w:jc w:val="both"/>
              <w:rPr>
                <w:rFonts w:hint="eastAsia" w:ascii="Times New Roman" w:hAnsi="Times New Roman" w:eastAsia="宋体" w:cs="Times New Roman"/>
                <w:kern w:val="2"/>
                <w:sz w:val="24"/>
                <w:szCs w:val="24"/>
                <w:lang w:val="en-US" w:eastAsia="zh-CN" w:bidi="ar-SA"/>
              </w:rPr>
            </w:pPr>
          </w:p>
          <w:p>
            <w:pPr>
              <w:pStyle w:val="2"/>
              <w:adjustRightInd w:val="0"/>
              <w:snapToGrid w:val="0"/>
              <w:spacing w:line="360" w:lineRule="auto"/>
              <w:jc w:val="both"/>
              <w:rPr>
                <w:rFonts w:ascii="Times New Roman" w:hAnsi="Times New Roman" w:eastAsia="宋体" w:cs="Times New Roman"/>
                <w:b/>
                <w:bCs/>
                <w:sz w:val="24"/>
              </w:rPr>
            </w:pPr>
            <w:r>
              <w:rPr>
                <w:rFonts w:hint="eastAsia" w:ascii="Times New Roman" w:hAnsi="Times New Roman" w:eastAsia="宋体" w:cs="Times New Roman"/>
                <w:kern w:val="2"/>
                <w:sz w:val="24"/>
                <w:szCs w:val="24"/>
                <w:lang w:val="en-US" w:eastAsia="zh-CN" w:bidi="ar-SA"/>
              </w:rPr>
              <w:t>列出能够证明上述自评结果的相关材料目录索引，包括近三年本科生生源质量分析报告；近三年本科生毕业质量分析报告。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342"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B7.2.2</w:t>
            </w:r>
          </w:p>
        </w:tc>
        <w:tc>
          <w:tcPr>
            <w:tcW w:w="1658" w:type="pct"/>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B1 </w:t>
            </w:r>
            <w:r>
              <w:rPr>
                <w:rFonts w:ascii="Times New Roman" w:hAnsi="宋体" w:eastAsia="宋体" w:cs="Times New Roman"/>
                <w:sz w:val="24"/>
              </w:rPr>
              <w:t>毕业生面向国家和经济社会发展需要就业情况、就业质量和职业发展情况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【可选】升学率（含国内与国外）</w:t>
            </w:r>
          </w:p>
          <w:p>
            <w:pPr>
              <w:adjustRightInd w:val="0"/>
              <w:snapToGrid w:val="0"/>
              <w:rPr>
                <w:rFonts w:ascii="Times New Roman" w:hAnsi="Times New Roman" w:eastAsia="宋体" w:cs="Times New Roman"/>
                <w:sz w:val="24"/>
              </w:rPr>
            </w:pPr>
            <w:r>
              <w:rPr>
                <w:rFonts w:ascii="Times New Roman" w:hAnsi="宋体" w:eastAsia="宋体" w:cs="Times New Roman"/>
                <w:sz w:val="24"/>
              </w:rPr>
              <w:t>【可选】应届本科生初次就业率及结构</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近三年本科毕业生的就业情况、就业质量分析。对于学术型人才培养，要阐述毕业生面向国家和经济社会发展需要就业情况、就业质量和职业发展情况。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7.3</w:t>
            </w:r>
            <w:r>
              <w:rPr>
                <w:rFonts w:ascii="Times New Roman" w:hAnsi="宋体" w:eastAsia="宋体" w:cs="Times New Roman"/>
                <w:sz w:val="24"/>
              </w:rPr>
              <w:t>保障度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7.3.1 </w:t>
            </w:r>
            <w:r>
              <w:rPr>
                <w:rFonts w:ascii="Times New Roman" w:hAnsi="宋体" w:eastAsia="宋体" w:cs="Times New Roman"/>
                <w:sz w:val="24"/>
              </w:rPr>
              <w:t>教学经费以及教室、实验室、图书馆、体育场馆、艺术场馆等资源条件满足教学需要情况</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【必选】生均本科实验经费（元）</w:t>
            </w:r>
          </w:p>
          <w:p>
            <w:pPr>
              <w:adjustRightInd w:val="0"/>
              <w:snapToGrid w:val="0"/>
              <w:rPr>
                <w:rFonts w:ascii="Times New Roman" w:hAnsi="Times New Roman" w:eastAsia="宋体" w:cs="Times New Roman"/>
                <w:sz w:val="24"/>
              </w:rPr>
            </w:pPr>
            <w:r>
              <w:rPr>
                <w:rFonts w:ascii="Times New Roman" w:hAnsi="宋体" w:eastAsia="宋体" w:cs="Times New Roman"/>
                <w:sz w:val="24"/>
              </w:rPr>
              <w:t>【必选】生均本科实习经费（元）</w:t>
            </w:r>
          </w:p>
        </w:tc>
        <w:tc>
          <w:tcPr>
            <w:tcW w:w="970" w:type="pct"/>
            <w:shd w:val="clear" w:color="auto" w:fill="auto"/>
            <w:vAlign w:val="center"/>
          </w:tcPr>
          <w:p>
            <w:pPr>
              <w:adjustRightInd w:val="0"/>
              <w:snapToGrid w:val="0"/>
              <w:jc w:val="left"/>
              <w:rPr>
                <w:rFonts w:ascii="Times New Roman" w:hAnsi="Times New Roman" w:eastAsia="宋体" w:cs="Times New Roman"/>
                <w:sz w:val="24"/>
              </w:rPr>
            </w:pPr>
            <w:r>
              <w:rPr>
                <w:rFonts w:hint="eastAsia" w:ascii="Times New Roman" w:hAnsi="Times New Roman" w:eastAsia="宋体" w:cs="Times New Roman"/>
                <w:sz w:val="24"/>
              </w:rPr>
              <w:t>近三年教学经费投入情况；教室、实验室、图书馆、体育场馆、艺术场馆等资源条件满足教学需要情况。</w:t>
            </w:r>
          </w:p>
        </w:tc>
        <w:tc>
          <w:tcPr>
            <w:tcW w:w="948" w:type="pct"/>
            <w:vMerge w:val="restar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列出能够证明上述自评结果的相关材料目录索引，包括教学经费、教室和实验室统计表、图书馆、体育场馆、艺术场馆、教师名册等材料。</w:t>
            </w:r>
          </w:p>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7.3.2 教师的数量、结构、教学水平、产学研用能力、国际视野、教学投入等满足人才培养需要情况</w:t>
            </w: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【必选】生师比（要求见备注8）</w:t>
            </w: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【必选】具有硕士学位、博士学位教师占专任教师比例≥50%</w:t>
            </w:r>
          </w:p>
        </w:tc>
        <w:tc>
          <w:tcPr>
            <w:tcW w:w="970" w:type="pct"/>
            <w:shd w:val="clear" w:color="auto" w:fill="auto"/>
            <w:vAlign w:val="center"/>
          </w:tcPr>
          <w:p>
            <w:pPr>
              <w:adjustRightInd w:val="0"/>
              <w:snapToGrid w:val="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教师的数量、结构、教学水平、产学研用能力、国际视野、教学投入情况及满足人才培养需要情况。</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7.4</w:t>
            </w:r>
            <w:r>
              <w:rPr>
                <w:rFonts w:ascii="Times New Roman" w:hAnsi="宋体" w:eastAsia="宋体" w:cs="Times New Roman"/>
                <w:sz w:val="24"/>
              </w:rPr>
              <w:t>有效度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7.4.1 </w:t>
            </w:r>
            <w:r>
              <w:rPr>
                <w:rFonts w:hint="eastAsia" w:ascii="Times New Roman" w:hAnsi="宋体" w:eastAsia="宋体" w:cs="Times New Roman"/>
                <w:sz w:val="24"/>
              </w:rPr>
              <w:t>学校人才培养各环节有序运行情况</w:t>
            </w:r>
          </w:p>
        </w:tc>
        <w:tc>
          <w:tcPr>
            <w:tcW w:w="970" w:type="pct"/>
            <w:shd w:val="clear" w:color="auto" w:fill="auto"/>
            <w:vAlign w:val="center"/>
          </w:tcPr>
          <w:p>
            <w:pPr>
              <w:adjustRightInd w:val="0"/>
              <w:snapToGrid w:val="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人才培养各环节运行情况、质量情况。</w:t>
            </w:r>
          </w:p>
        </w:tc>
        <w:tc>
          <w:tcPr>
            <w:tcW w:w="948" w:type="pct"/>
            <w:vMerge w:val="restart"/>
            <w:shd w:val="clear" w:color="auto" w:fill="auto"/>
            <w:vAlign w:val="center"/>
          </w:tcPr>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hint="eastAsia"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列出能够证明上述自评结果的相关材料目录索引，包括对人才培养各环节监控、检查资料；近三年人才培养核心数据统计资料；优秀毕业生典型案例及其有关的宣传报道情况。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ind w:firstLine="482"/>
              <w:jc w:val="left"/>
              <w:rPr>
                <w:rFonts w:ascii="Times New Roman" w:hAnsi="Times New Roman" w:eastAsia="宋体" w:cs="Times New Roman"/>
                <w:b/>
                <w:bCs/>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7.4.2 </w:t>
            </w:r>
            <w:r>
              <w:rPr>
                <w:rFonts w:hint="eastAsia" w:ascii="Times New Roman" w:hAnsi="宋体" w:eastAsia="宋体" w:cs="Times New Roman"/>
                <w:sz w:val="24"/>
              </w:rPr>
              <w:t>学校人才培养工作持续改进、持续提升情况</w:t>
            </w:r>
          </w:p>
        </w:tc>
        <w:tc>
          <w:tcPr>
            <w:tcW w:w="970" w:type="pct"/>
            <w:shd w:val="clear" w:color="auto" w:fill="auto"/>
            <w:vAlign w:val="center"/>
          </w:tcPr>
          <w:p>
            <w:pPr>
              <w:adjustRightInd w:val="0"/>
              <w:snapToGrid w:val="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针对质量监控、质量评估和质量分析中发现的问题持续改进情况，可分析比较近三年人才培养核心数据的变化态势，判别人才培养工作持续改进、持续提升的效果。</w:t>
            </w:r>
          </w:p>
        </w:tc>
        <w:tc>
          <w:tcPr>
            <w:tcW w:w="948" w:type="pct"/>
            <w:vMerge w:val="continue"/>
            <w:shd w:val="clear" w:color="auto" w:fill="auto"/>
            <w:vAlign w:val="center"/>
          </w:tcPr>
          <w:p>
            <w:pPr>
              <w:adjustRightInd w:val="0"/>
              <w:snapToGrid w:val="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7.</w:t>
            </w:r>
            <w:r>
              <w:rPr>
                <w:rFonts w:hint="eastAsia" w:ascii="Times New Roman" w:hAnsi="宋体" w:eastAsia="宋体" w:cs="Times New Roman"/>
                <w:sz w:val="24"/>
              </w:rPr>
              <w:t>教学成效</w:t>
            </w: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7.4.3 </w:t>
            </w:r>
            <w:r>
              <w:rPr>
                <w:rFonts w:hint="eastAsia" w:ascii="Times New Roman" w:hAnsi="宋体" w:eastAsia="宋体" w:cs="Times New Roman"/>
                <w:sz w:val="24"/>
              </w:rPr>
              <w:t>近五年专业领域的优秀毕业生十个典型案例及培养经验</w:t>
            </w:r>
          </w:p>
        </w:tc>
        <w:tc>
          <w:tcPr>
            <w:tcW w:w="970" w:type="pct"/>
            <w:shd w:val="clear" w:color="auto" w:fill="auto"/>
            <w:vAlign w:val="center"/>
          </w:tcPr>
          <w:p>
            <w:pPr>
              <w:pStyle w:val="2"/>
              <w:adjustRightInd w:val="0"/>
              <w:snapToGrid w:val="0"/>
              <w:spacing w:line="360" w:lineRule="auto"/>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列出近五年专业领域的优秀毕业生十个典型案例，总结其培养经验。</w:t>
            </w:r>
          </w:p>
        </w:tc>
        <w:tc>
          <w:tcPr>
            <w:tcW w:w="948" w:type="pct"/>
            <w:vMerge w:val="continue"/>
            <w:shd w:val="clear" w:color="auto" w:fill="auto"/>
            <w:vAlign w:val="center"/>
          </w:tcPr>
          <w:p>
            <w:pPr>
              <w:adjustRightInd w:val="0"/>
              <w:snapToGrid w:val="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restar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7.5</w:t>
            </w:r>
            <w:r>
              <w:rPr>
                <w:rFonts w:ascii="Times New Roman" w:hAnsi="宋体" w:eastAsia="宋体" w:cs="Times New Roman"/>
                <w:sz w:val="24"/>
              </w:rPr>
              <w:t>满意度</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7.5.1 </w:t>
            </w:r>
            <w:r>
              <w:rPr>
                <w:rFonts w:hint="eastAsia" w:ascii="Times New Roman" w:hAnsi="宋体" w:eastAsia="宋体" w:cs="Times New Roman"/>
                <w:sz w:val="24"/>
              </w:rPr>
              <w:t>学生（毕业生与在校生）对学习与成长的满意度</w:t>
            </w:r>
          </w:p>
        </w:tc>
        <w:tc>
          <w:tcPr>
            <w:tcW w:w="970" w:type="pc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开展的对在校生和毕业生学习与成长满意度的调查情况及结论。</w:t>
            </w:r>
          </w:p>
        </w:tc>
        <w:tc>
          <w:tcPr>
            <w:tcW w:w="948" w:type="pct"/>
            <w:vMerge w:val="restar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列出能够证明上述自评结果的相关材料目录索引，包括定期开展的在校生和毕业生座谈会、教师座谈会、用人单位座谈会和问卷调查材料；学生、教师对教学、管理、服务提出的意见和建议；社会用人单位对毕业生的评价及其对专业设置、培养目标、培养规格、培养方案、教学方法改进提出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7.5.2</w:t>
            </w:r>
            <w:r>
              <w:rPr>
                <w:rFonts w:hint="eastAsia" w:ascii="Times New Roman" w:hAnsi="宋体" w:eastAsia="宋体" w:cs="Times New Roman"/>
                <w:sz w:val="24"/>
              </w:rPr>
              <w:t>教师对学校教育教学工作的满意度</w:t>
            </w:r>
          </w:p>
        </w:tc>
        <w:tc>
          <w:tcPr>
            <w:tcW w:w="970" w:type="pc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开展的教师对教育教学工作满意度的调查情况及结论。</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vMerge w:val="continue"/>
            <w:shd w:val="clear" w:color="auto" w:fill="auto"/>
            <w:vAlign w:val="center"/>
          </w:tcPr>
          <w:p>
            <w:pPr>
              <w:adjustRightInd w:val="0"/>
              <w:snapToGrid w:val="0"/>
              <w:jc w:val="left"/>
              <w:rPr>
                <w:rFonts w:ascii="Times New Roman" w:hAnsi="Times New Roman" w:eastAsia="宋体" w:cs="Times New Roman"/>
                <w:sz w:val="24"/>
              </w:rPr>
            </w:pP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7.5.3 </w:t>
            </w:r>
            <w:r>
              <w:rPr>
                <w:rFonts w:hint="eastAsia" w:ascii="Times New Roman" w:hAnsi="宋体" w:eastAsia="宋体" w:cs="Times New Roman"/>
                <w:sz w:val="24"/>
              </w:rPr>
              <w:t>用人单位的满意度</w:t>
            </w:r>
          </w:p>
        </w:tc>
        <w:tc>
          <w:tcPr>
            <w:tcW w:w="970" w:type="pct"/>
            <w:shd w:val="clear" w:color="auto" w:fill="auto"/>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sz w:val="24"/>
              </w:rPr>
              <w:t>开展的用人单位对毕业生满意度调查情况及结论。</w:t>
            </w:r>
          </w:p>
        </w:tc>
        <w:tc>
          <w:tcPr>
            <w:tcW w:w="948" w:type="pct"/>
            <w:vMerge w:val="continue"/>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restart"/>
            <w:shd w:val="clear" w:color="auto" w:fill="auto"/>
            <w:vAlign w:val="center"/>
          </w:tcPr>
          <w:p>
            <w:pPr>
              <w:adjustRightInd w:val="0"/>
              <w:snapToGrid w:val="0"/>
              <w:jc w:val="center"/>
              <w:rPr>
                <w:rFonts w:ascii="Times New Roman" w:hAnsi="Times New Roman" w:eastAsia="宋体" w:cs="Times New Roman"/>
                <w:sz w:val="24"/>
              </w:rPr>
            </w:pPr>
            <w:r>
              <w:rPr>
                <w:rFonts w:ascii="Times New Roman" w:hAnsi="Times New Roman" w:eastAsia="宋体" w:cs="Times New Roman"/>
                <w:b/>
                <w:sz w:val="24"/>
              </w:rPr>
              <w:t>8.</w:t>
            </w:r>
            <w:r>
              <w:rPr>
                <w:rFonts w:hint="eastAsia" w:ascii="Times New Roman" w:hAnsi="宋体" w:eastAsia="宋体" w:cs="Times New Roman"/>
                <w:sz w:val="24"/>
              </w:rPr>
              <w:t>安徽省高水平大学建设项目自评</w:t>
            </w: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8.1</w:t>
            </w:r>
            <w:r>
              <w:rPr>
                <w:rFonts w:ascii="Times New Roman" w:hAnsi="宋体" w:eastAsia="宋体" w:cs="Times New Roman"/>
                <w:sz w:val="24"/>
              </w:rPr>
              <w:t>高水平大学建设成效自评</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8.1.1 </w:t>
            </w:r>
            <w:r>
              <w:rPr>
                <w:rFonts w:hint="eastAsia" w:ascii="Times New Roman" w:hAnsi="宋体" w:eastAsia="宋体" w:cs="Times New Roman"/>
                <w:sz w:val="24"/>
              </w:rPr>
              <w:t>安徽省地方行业特色高水平大学建设成效自评表（附</w:t>
            </w:r>
            <w:r>
              <w:rPr>
                <w:rFonts w:hint="eastAsia" w:ascii="Times New Roman" w:hAnsi="Times New Roman" w:eastAsia="宋体" w:cs="Times New Roman"/>
                <w:sz w:val="24"/>
                <w:lang w:val="en-US" w:eastAsia="zh-CN"/>
              </w:rPr>
              <w:t>2.1</w:t>
            </w:r>
            <w:r>
              <w:rPr>
                <w:rFonts w:hint="eastAsia" w:ascii="Times New Roman" w:hAnsi="宋体" w:eastAsia="宋体" w:cs="Times New Roman"/>
                <w:sz w:val="24"/>
              </w:rPr>
              <w:t>）</w:t>
            </w:r>
          </w:p>
        </w:tc>
        <w:tc>
          <w:tcPr>
            <w:tcW w:w="970" w:type="pct"/>
            <w:shd w:val="clear" w:color="auto" w:fill="auto"/>
            <w:vAlign w:val="center"/>
          </w:tcPr>
          <w:p>
            <w:pPr>
              <w:adjustRightInd w:val="0"/>
              <w:snapToGrid w:val="0"/>
              <w:jc w:val="left"/>
              <w:rPr>
                <w:rFonts w:ascii="Times New Roman" w:hAnsi="Times New Roman" w:eastAsia="宋体" w:cs="Times New Roman"/>
                <w:sz w:val="24"/>
              </w:rPr>
            </w:pPr>
          </w:p>
        </w:tc>
        <w:tc>
          <w:tcPr>
            <w:tcW w:w="948" w:type="pct"/>
            <w:shd w:val="clear" w:color="auto" w:fill="auto"/>
            <w:vAlign w:val="center"/>
          </w:tcPr>
          <w:p>
            <w:pPr>
              <w:adjustRightInd w:val="0"/>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95" w:type="pct"/>
            <w:vMerge w:val="continue"/>
            <w:shd w:val="clear" w:color="auto" w:fill="auto"/>
            <w:vAlign w:val="center"/>
          </w:tcPr>
          <w:p>
            <w:pPr>
              <w:adjustRightInd w:val="0"/>
              <w:snapToGrid w:val="0"/>
              <w:jc w:val="center"/>
              <w:rPr>
                <w:rFonts w:ascii="Times New Roman" w:hAnsi="Times New Roman" w:eastAsia="宋体" w:cs="Times New Roman"/>
                <w:sz w:val="24"/>
              </w:rPr>
            </w:pPr>
          </w:p>
        </w:tc>
        <w:tc>
          <w:tcPr>
            <w:tcW w:w="585" w:type="pct"/>
            <w:shd w:val="clear" w:color="auto" w:fill="auto"/>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8.2</w:t>
            </w:r>
            <w:r>
              <w:rPr>
                <w:rFonts w:ascii="Times New Roman" w:hAnsi="宋体" w:eastAsia="宋体" w:cs="Times New Roman"/>
                <w:sz w:val="24"/>
              </w:rPr>
              <w:t>自我评价报告</w:t>
            </w:r>
          </w:p>
        </w:tc>
        <w:tc>
          <w:tcPr>
            <w:tcW w:w="2000" w:type="pct"/>
            <w:gridSpan w:val="2"/>
            <w:shd w:val="clear" w:color="auto" w:fill="auto"/>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8.2.1</w:t>
            </w:r>
            <w:r>
              <w:rPr>
                <w:rFonts w:hint="eastAsia" w:ascii="Times New Roman" w:hAnsi="宋体" w:eastAsia="宋体" w:cs="Times New Roman"/>
                <w:sz w:val="24"/>
              </w:rPr>
              <w:t>建设举措、取得成效、存在问题、下一步努力方向等（附</w:t>
            </w:r>
            <w:r>
              <w:rPr>
                <w:rFonts w:ascii="Times New Roman" w:hAnsi="Times New Roman" w:eastAsia="宋体" w:cs="Times New Roman"/>
                <w:sz w:val="24"/>
              </w:rPr>
              <w:t>2</w:t>
            </w:r>
            <w:r>
              <w:rPr>
                <w:rFonts w:hint="eastAsia" w:ascii="Times New Roman" w:hAnsi="Times New Roman" w:eastAsia="宋体" w:cs="Times New Roman"/>
                <w:sz w:val="24"/>
                <w:lang w:val="en-US" w:eastAsia="zh-CN"/>
              </w:rPr>
              <w:t>.2</w:t>
            </w:r>
            <w:r>
              <w:rPr>
                <w:rFonts w:hint="eastAsia" w:ascii="Times New Roman" w:hAnsi="宋体" w:eastAsia="宋体" w:cs="Times New Roman"/>
                <w:sz w:val="24"/>
              </w:rPr>
              <w:t>）</w:t>
            </w:r>
          </w:p>
        </w:tc>
        <w:tc>
          <w:tcPr>
            <w:tcW w:w="970" w:type="pct"/>
            <w:shd w:val="clear" w:color="auto" w:fill="auto"/>
            <w:vAlign w:val="center"/>
          </w:tcPr>
          <w:p>
            <w:pPr>
              <w:adjustRightInd w:val="0"/>
              <w:snapToGrid w:val="0"/>
              <w:jc w:val="left"/>
              <w:rPr>
                <w:rFonts w:ascii="Times New Roman" w:hAnsi="Times New Roman" w:eastAsia="宋体" w:cs="Times New Roman"/>
                <w:sz w:val="24"/>
              </w:rPr>
            </w:pPr>
          </w:p>
        </w:tc>
        <w:tc>
          <w:tcPr>
            <w:tcW w:w="948" w:type="pct"/>
            <w:shd w:val="clear" w:color="auto" w:fill="auto"/>
            <w:vAlign w:val="center"/>
          </w:tcPr>
          <w:p>
            <w:pPr>
              <w:adjustRightInd w:val="0"/>
              <w:snapToGrid w:val="0"/>
              <w:ind w:firstLine="482"/>
              <w:jc w:val="center"/>
              <w:rPr>
                <w:rFonts w:ascii="Times New Roman" w:hAnsi="Times New Roman" w:eastAsia="宋体" w:cs="Times New Roman"/>
                <w:b/>
                <w:bCs/>
                <w:sz w:val="24"/>
              </w:rPr>
            </w:pPr>
          </w:p>
        </w:tc>
      </w:tr>
      <w:bookmarkEnd w:id="0"/>
    </w:tbl>
    <w:p>
      <w:pPr>
        <w:rPr>
          <w:rFonts w:ascii="Times New Roman" w:hAnsi="Times New Roman" w:cs="Times New Roman"/>
          <w:b/>
          <w:kern w:val="0"/>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00" w:lineRule="exact"/>
        <w:jc w:val="center"/>
        <w:rPr>
          <w:rFonts w:ascii="Times New Roman" w:hAnsi="Times New Roman" w:cs="Times New Roman"/>
          <w:b/>
          <w:kern w:val="0"/>
          <w:sz w:val="24"/>
        </w:rPr>
      </w:pPr>
    </w:p>
    <w:p>
      <w:pPr>
        <w:pStyle w:val="2"/>
        <w:rPr>
          <w:rFonts w:ascii="Times New Roman" w:hAnsi="Times New Roman" w:cs="Times New Roman"/>
        </w:rPr>
      </w:pPr>
      <w:r>
        <w:rPr>
          <w:rFonts w:hint="eastAsia" w:ascii="Times New Roman" w:hAnsi="Times New Roman" w:eastAsia="黑体" w:cs="Times New Roman"/>
          <w:b/>
          <w:sz w:val="28"/>
          <w:szCs w:val="28"/>
        </w:rPr>
        <w:t>附</w:t>
      </w:r>
      <w:r>
        <w:rPr>
          <w:rFonts w:ascii="Times New Roman" w:hAnsi="Times New Roman" w:eastAsia="黑体" w:cs="Times New Roman"/>
          <w:b/>
          <w:sz w:val="28"/>
          <w:szCs w:val="28"/>
        </w:rPr>
        <w:t>2</w:t>
      </w:r>
      <w:r>
        <w:rPr>
          <w:rFonts w:hint="eastAsia" w:ascii="Times New Roman" w:hAnsi="Times New Roman" w:eastAsia="黑体" w:cs="Times New Roman"/>
          <w:b/>
          <w:sz w:val="28"/>
          <w:szCs w:val="28"/>
          <w:lang w:val="en-US" w:eastAsia="zh-CN"/>
        </w:rPr>
        <w:t>.1</w:t>
      </w:r>
      <w:r>
        <w:rPr>
          <w:rFonts w:hint="eastAsia" w:ascii="Times New Roman" w:hAnsi="Times New Roman" w:eastAsia="黑体" w:cs="Times New Roman"/>
          <w:b/>
          <w:sz w:val="28"/>
          <w:szCs w:val="28"/>
        </w:rPr>
        <w:t>：</w:t>
      </w:r>
    </w:p>
    <w:p>
      <w:pPr>
        <w:jc w:val="center"/>
        <w:rPr>
          <w:rFonts w:hint="eastAsia" w:ascii="Times New Roman" w:hAnsi="Times New Roman" w:eastAsia="方正小标宋_GBK" w:cs="Times New Roman"/>
          <w:bCs/>
          <w:kern w:val="0"/>
          <w:sz w:val="40"/>
          <w:szCs w:val="40"/>
        </w:rPr>
      </w:pPr>
      <w:r>
        <w:rPr>
          <w:rFonts w:hint="eastAsia" w:ascii="Times New Roman" w:hAnsi="方正小标宋_GBK" w:eastAsia="方正小标宋_GBK" w:cs="Times New Roman"/>
          <w:bCs/>
          <w:kern w:val="0"/>
          <w:sz w:val="40"/>
          <w:szCs w:val="40"/>
        </w:rPr>
        <w:t>安徽省地方行业特色高水平大学建设自评表</w:t>
      </w:r>
    </w:p>
    <w:tbl>
      <w:tblPr>
        <w:tblStyle w:val="7"/>
        <w:tblW w:w="5133"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67"/>
        <w:gridCol w:w="1297"/>
        <w:gridCol w:w="3572"/>
        <w:gridCol w:w="1040"/>
        <w:gridCol w:w="1040"/>
        <w:gridCol w:w="103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7" w:hRule="atLeast"/>
          <w:jc w:val="center"/>
        </w:trPr>
        <w:tc>
          <w:tcPr>
            <w:tcW w:w="438" w:type="pct"/>
            <w:tcBorders>
              <w:top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一级指标</w:t>
            </w:r>
          </w:p>
        </w:tc>
        <w:tc>
          <w:tcPr>
            <w:tcW w:w="741" w:type="pct"/>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二级指标</w:t>
            </w:r>
          </w:p>
        </w:tc>
        <w:tc>
          <w:tcPr>
            <w:tcW w:w="2040" w:type="pct"/>
            <w:tcBorders>
              <w:top w:val="single" w:color="auto" w:sz="4" w:space="0"/>
              <w:left w:val="single" w:color="000000" w:sz="4" w:space="0"/>
              <w:bottom w:val="single" w:color="000000" w:sz="4" w:space="0"/>
            </w:tcBorders>
            <w:vAlign w:val="center"/>
          </w:tcPr>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主要监测指标</w:t>
            </w:r>
          </w:p>
        </w:tc>
        <w:tc>
          <w:tcPr>
            <w:tcW w:w="594" w:type="pct"/>
            <w:tcBorders>
              <w:top w:val="single" w:color="auto" w:sz="4" w:space="0"/>
              <w:left w:val="single" w:color="000000" w:sz="4" w:space="0"/>
              <w:bottom w:val="single" w:color="000000" w:sz="4" w:space="0"/>
            </w:tcBorders>
            <w:vAlign w:val="center"/>
          </w:tcPr>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完成</w:t>
            </w:r>
          </w:p>
        </w:tc>
        <w:tc>
          <w:tcPr>
            <w:tcW w:w="594" w:type="pct"/>
            <w:tcBorders>
              <w:top w:val="single" w:color="auto" w:sz="4" w:space="0"/>
              <w:left w:val="single" w:color="000000" w:sz="4" w:space="0"/>
              <w:bottom w:val="single" w:color="000000" w:sz="4" w:space="0"/>
            </w:tcBorders>
            <w:vAlign w:val="center"/>
          </w:tcPr>
          <w:p>
            <w:pPr>
              <w:adjustRightInd w:val="0"/>
              <w:snapToGrid w:val="0"/>
              <w:jc w:val="center"/>
              <w:rPr>
                <w:rFonts w:ascii="Times New Roman" w:hAnsi="Times New Roman" w:eastAsia="黑体" w:cs="Times New Roman"/>
                <w:bCs/>
                <w:sz w:val="22"/>
              </w:rPr>
            </w:pPr>
            <w:r>
              <w:rPr>
                <w:rFonts w:hint="eastAsia" w:ascii="Times New Roman" w:hAnsi="黑体" w:eastAsia="黑体" w:cs="Times New Roman"/>
                <w:bCs/>
                <w:sz w:val="22"/>
                <w:szCs w:val="22"/>
              </w:rPr>
              <w:t>部分</w:t>
            </w:r>
          </w:p>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完成</w:t>
            </w:r>
          </w:p>
        </w:tc>
        <w:tc>
          <w:tcPr>
            <w:tcW w:w="594" w:type="pct"/>
            <w:tcBorders>
              <w:top w:val="single" w:color="auto" w:sz="4" w:space="0"/>
              <w:left w:val="single" w:color="000000" w:sz="4" w:space="0"/>
              <w:bottom w:val="single" w:color="000000" w:sz="4" w:space="0"/>
            </w:tcBorders>
            <w:vAlign w:val="center"/>
          </w:tcPr>
          <w:p>
            <w:pPr>
              <w:adjustRightInd w:val="0"/>
              <w:snapToGrid w:val="0"/>
              <w:jc w:val="center"/>
              <w:rPr>
                <w:rFonts w:ascii="Times New Roman" w:hAnsi="Times New Roman" w:eastAsia="黑体" w:cs="Times New Roman"/>
                <w:bCs/>
                <w:sz w:val="22"/>
                <w:szCs w:val="22"/>
              </w:rPr>
            </w:pPr>
            <w:r>
              <w:rPr>
                <w:rFonts w:hint="eastAsia" w:ascii="Times New Roman" w:hAnsi="黑体" w:eastAsia="黑体" w:cs="Times New Roman"/>
                <w:bCs/>
                <w:sz w:val="22"/>
                <w:szCs w:val="22"/>
              </w:rPr>
              <w:t>未完成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438" w:type="pct"/>
            <w:vMerge w:val="restart"/>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1.</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党的领导</w:t>
            </w: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1-1</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党的建设</w:t>
            </w:r>
          </w:p>
        </w:tc>
        <w:tc>
          <w:tcPr>
            <w:tcW w:w="2040" w:type="pct"/>
            <w:tcBorders>
              <w:top w:val="single" w:color="000000" w:sz="4" w:space="0"/>
              <w:left w:val="single" w:color="000000" w:sz="4" w:space="0"/>
              <w:bottom w:val="single" w:color="000000" w:sz="4" w:space="0"/>
            </w:tcBorders>
            <w:shd w:val="clear" w:color="auto" w:fill="FFFFFF"/>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1-1-1  </w:t>
            </w:r>
            <w:r>
              <w:rPr>
                <w:rFonts w:ascii="Times New Roman" w:hAnsi="宋体" w:eastAsia="宋体" w:cs="Times New Roman"/>
                <w:bCs/>
                <w:sz w:val="22"/>
                <w:szCs w:val="22"/>
              </w:rPr>
              <w:t>落实党委领导下的校长负责制，加强党对学校工作的全面领导。三年内省委综合考核工作领导班子优秀等次至少</w:t>
            </w:r>
            <w:r>
              <w:rPr>
                <w:rFonts w:ascii="Times New Roman" w:hAnsi="Times New Roman" w:eastAsia="宋体" w:cs="Times New Roman"/>
                <w:bCs/>
                <w:sz w:val="22"/>
                <w:szCs w:val="22"/>
              </w:rPr>
              <w:t>1</w:t>
            </w:r>
            <w:r>
              <w:rPr>
                <w:rFonts w:ascii="Times New Roman" w:hAnsi="宋体" w:eastAsia="宋体" w:cs="Times New Roman"/>
                <w:bCs/>
                <w:sz w:val="22"/>
                <w:szCs w:val="22"/>
              </w:rPr>
              <w:t>次，且党组织入选全国高校党</w:t>
            </w:r>
            <w:r>
              <w:rPr>
                <w:rFonts w:ascii="宋体" w:hAnsi="宋体" w:eastAsia="宋体" w:cs="Times New Roman"/>
                <w:bCs/>
                <w:sz w:val="22"/>
                <w:szCs w:val="22"/>
              </w:rPr>
              <w:t>建“标杆院系”或入选全省高校党建“示范高校”。</w:t>
            </w: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1-2</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立德树人与思政教育</w:t>
            </w:r>
          </w:p>
        </w:tc>
        <w:tc>
          <w:tcPr>
            <w:tcW w:w="2040" w:type="pct"/>
            <w:tcBorders>
              <w:top w:val="single" w:color="000000" w:sz="4" w:space="0"/>
              <w:left w:val="single" w:color="000000" w:sz="4" w:space="0"/>
              <w:bottom w:val="single" w:color="000000" w:sz="4" w:space="0"/>
            </w:tcBorders>
            <w:shd w:val="clear" w:color="auto" w:fill="FFFFFF"/>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1-2-1  </w:t>
            </w:r>
            <w:r>
              <w:rPr>
                <w:rFonts w:ascii="Times New Roman" w:hAnsi="宋体" w:eastAsia="宋体" w:cs="Times New Roman"/>
                <w:bCs/>
                <w:sz w:val="22"/>
                <w:szCs w:val="22"/>
              </w:rPr>
              <w:t>落实立德树人机制，把思想政治工作贯穿教育教学全过程，健全</w:t>
            </w:r>
            <w:r>
              <w:rPr>
                <w:rFonts w:hint="eastAsia" w:ascii="Times New Roman" w:hAnsi="宋体" w:eastAsia="宋体" w:cs="Times New Roman"/>
                <w:bCs/>
                <w:sz w:val="22"/>
                <w:szCs w:val="22"/>
              </w:rPr>
              <w:t>“三全育人”机制。获得国家级立德树人与思政教育等方面的奖励不少于</w:t>
            </w:r>
            <w:r>
              <w:rPr>
                <w:rFonts w:ascii="Times New Roman" w:hAnsi="Times New Roman" w:eastAsia="宋体" w:cs="Times New Roman"/>
                <w:bCs/>
                <w:sz w:val="22"/>
                <w:szCs w:val="22"/>
              </w:rPr>
              <w:t>2</w:t>
            </w:r>
            <w:r>
              <w:rPr>
                <w:rFonts w:ascii="Times New Roman" w:hAnsi="宋体" w:eastAsia="宋体" w:cs="Times New Roman"/>
                <w:bCs/>
                <w:sz w:val="22"/>
                <w:szCs w:val="22"/>
              </w:rPr>
              <w:t>人（次、项）。</w:t>
            </w: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1-3</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依法治校</w:t>
            </w:r>
          </w:p>
        </w:tc>
        <w:tc>
          <w:tcPr>
            <w:tcW w:w="2040" w:type="pct"/>
            <w:tcBorders>
              <w:top w:val="single" w:color="000000" w:sz="4" w:space="0"/>
              <w:left w:val="single" w:color="000000" w:sz="4" w:space="0"/>
              <w:bottom w:val="single" w:color="000000" w:sz="4" w:space="0"/>
            </w:tcBorders>
            <w:shd w:val="clear" w:color="auto" w:fill="FFFFFF"/>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1-3-1 </w:t>
            </w:r>
            <w:r>
              <w:rPr>
                <w:rFonts w:ascii="Times New Roman" w:hAnsi="宋体" w:eastAsia="宋体" w:cs="Times New Roman"/>
                <w:bCs/>
                <w:sz w:val="22"/>
                <w:szCs w:val="22"/>
              </w:rPr>
              <w:t>依法治校得到有效落实。法治工作纳入学校发展规划和年度工作计划。学校决策会议定期听取法治工作汇报，研究有关问题。明确分管校领导，明确法治机构职能定位。构建以章程为核心的系统完备的学校规章制度体系，有效发挥学术委员会、教职工代表大会制度、学生委员会制度作用，教职工和学生权益得到有效保护。对照《高等学校法治工作测评指标》自评得分</w:t>
            </w:r>
            <w:r>
              <w:rPr>
                <w:rFonts w:ascii="Times New Roman" w:hAnsi="Times New Roman" w:eastAsia="宋体" w:cs="Times New Roman"/>
                <w:bCs/>
                <w:sz w:val="22"/>
                <w:szCs w:val="22"/>
              </w:rPr>
              <w:t>90</w:t>
            </w:r>
            <w:r>
              <w:rPr>
                <w:rFonts w:ascii="Times New Roman" w:hAnsi="宋体" w:eastAsia="宋体" w:cs="Times New Roman"/>
                <w:bCs/>
                <w:sz w:val="22"/>
                <w:szCs w:val="22"/>
              </w:rPr>
              <w:t>分以上。</w:t>
            </w: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shd w:val="clear" w:color="auto" w:fill="FFFFFF"/>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438" w:type="pct"/>
            <w:vMerge w:val="restart"/>
            <w:tcBorders>
              <w:top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2.</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人才培养</w:t>
            </w: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2-1</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培养方案</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2-1-1  </w:t>
            </w:r>
            <w:r>
              <w:rPr>
                <w:rFonts w:ascii="Times New Roman" w:hAnsi="宋体" w:eastAsia="宋体" w:cs="Times New Roman"/>
                <w:bCs/>
                <w:sz w:val="22"/>
                <w:szCs w:val="22"/>
              </w:rPr>
              <w:t>培养方案体现</w:t>
            </w:r>
            <w:r>
              <w:rPr>
                <w:rFonts w:hint="eastAsia" w:ascii="Times New Roman" w:hAnsi="宋体" w:eastAsia="宋体" w:cs="Times New Roman"/>
                <w:bCs/>
                <w:sz w:val="22"/>
                <w:szCs w:val="22"/>
              </w:rPr>
              <w:t>“五育并举”</w:t>
            </w:r>
            <w:r>
              <w:rPr>
                <w:rFonts w:ascii="Times New Roman" w:hAnsi="宋体" w:eastAsia="宋体" w:cs="Times New Roman"/>
                <w:bCs/>
                <w:sz w:val="22"/>
                <w:szCs w:val="22"/>
              </w:rPr>
              <w:t>；把创新创业教育、社会责任教育、国际理解教育纳入人才培养全过程；课程思政成效明显，人才培养目标定位准确，课程体系设计合理，教学环节衔接紧密，质量保障体系完善。</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000000" w:sz="4" w:space="0"/>
            </w:tcBorders>
            <w:vAlign w:val="center"/>
          </w:tcPr>
          <w:p>
            <w:pPr>
              <w:pStyle w:val="3"/>
              <w:widowControl w:val="0"/>
              <w:adjustRightInd w:val="0"/>
              <w:snapToGrid w:val="0"/>
              <w:spacing w:line="240" w:lineRule="auto"/>
              <w:ind w:firstLine="440"/>
              <w:rPr>
                <w:rFonts w:ascii="Times New Roman" w:hAnsi="Times New Roman" w:eastAsia="宋体"/>
                <w:b w:val="0"/>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2-2</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培养模式</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2-2-2 </w:t>
            </w:r>
            <w:r>
              <w:rPr>
                <w:rFonts w:hint="eastAsia" w:ascii="Times New Roman" w:hAnsi="Times New Roman" w:eastAsia="宋体" w:cs="Times New Roman"/>
                <w:bCs/>
                <w:sz w:val="22"/>
                <w:szCs w:val="22"/>
              </w:rPr>
              <w:t xml:space="preserve"> </w:t>
            </w:r>
            <w:r>
              <w:rPr>
                <w:rFonts w:ascii="Times New Roman" w:hAnsi="宋体" w:eastAsia="宋体" w:cs="Times New Roman"/>
                <w:bCs/>
                <w:sz w:val="22"/>
                <w:szCs w:val="22"/>
              </w:rPr>
              <w:t>深化人才培养模式、体制机制改革，成效显著。获得教育部</w:t>
            </w:r>
            <w:r>
              <w:rPr>
                <w:rFonts w:hint="eastAsia" w:ascii="Times New Roman" w:hAnsi="宋体" w:eastAsia="宋体" w:cs="Times New Roman"/>
                <w:bCs/>
                <w:sz w:val="22"/>
                <w:szCs w:val="22"/>
              </w:rPr>
              <w:t>“六卓越一拔尖”计划</w:t>
            </w:r>
            <w:r>
              <w:rPr>
                <w:rFonts w:ascii="Times New Roman" w:hAnsi="Times New Roman" w:eastAsia="宋体" w:cs="Times New Roman"/>
                <w:bCs/>
                <w:sz w:val="22"/>
                <w:szCs w:val="22"/>
              </w:rPr>
              <w:t>2.0</w:t>
            </w:r>
            <w:r>
              <w:rPr>
                <w:rFonts w:ascii="Times New Roman" w:hAnsi="宋体" w:eastAsia="宋体" w:cs="Times New Roman"/>
                <w:bCs/>
                <w:sz w:val="22"/>
                <w:szCs w:val="22"/>
              </w:rPr>
              <w:t>项目</w:t>
            </w:r>
            <w:r>
              <w:rPr>
                <w:rFonts w:ascii="Times New Roman" w:hAnsi="Times New Roman" w:eastAsia="宋体" w:cs="Times New Roman"/>
                <w:bCs/>
                <w:sz w:val="22"/>
                <w:szCs w:val="22"/>
              </w:rPr>
              <w:t>2</w:t>
            </w:r>
            <w:r>
              <w:rPr>
                <w:rFonts w:ascii="Times New Roman" w:hAnsi="宋体" w:eastAsia="宋体" w:cs="Times New Roman"/>
                <w:bCs/>
                <w:sz w:val="22"/>
                <w:szCs w:val="22"/>
              </w:rPr>
              <w:t>个以上或建有现代产业、未来技术等人才培养机构，或近两届至少主持获得国家级教学成果奖（中国学位与研究生教育学会研究生教育成果奖）</w:t>
            </w:r>
            <w:r>
              <w:rPr>
                <w:rFonts w:ascii="Times New Roman" w:hAnsi="Times New Roman" w:eastAsia="宋体" w:cs="Times New Roman"/>
                <w:bCs/>
                <w:sz w:val="22"/>
                <w:szCs w:val="22"/>
              </w:rPr>
              <w:t>1</w:t>
            </w:r>
            <w:r>
              <w:rPr>
                <w:rFonts w:ascii="Times New Roman" w:hAnsi="宋体" w:eastAsia="宋体" w:cs="Times New Roman"/>
                <w:bCs/>
                <w:sz w:val="22"/>
                <w:szCs w:val="22"/>
              </w:rPr>
              <w:t>项以上。师范院校把办好师范教育作为第一职责，培养合格教师。</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2-3</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实践教学</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2-3-1  </w:t>
            </w:r>
            <w:r>
              <w:rPr>
                <w:rFonts w:ascii="Times New Roman" w:hAnsi="宋体" w:eastAsia="宋体" w:cs="Times New Roman"/>
                <w:bCs/>
                <w:sz w:val="22"/>
                <w:szCs w:val="22"/>
              </w:rPr>
              <w:t>深化实践教学体系改革。有国家级实践教学基地</w:t>
            </w:r>
            <w:r>
              <w:rPr>
                <w:rFonts w:ascii="Times New Roman" w:hAnsi="Times New Roman" w:eastAsia="宋体" w:cs="Times New Roman"/>
                <w:bCs/>
                <w:sz w:val="22"/>
                <w:szCs w:val="22"/>
              </w:rPr>
              <w:t>1</w:t>
            </w:r>
            <w:r>
              <w:rPr>
                <w:rFonts w:ascii="Times New Roman" w:hAnsi="宋体" w:eastAsia="宋体" w:cs="Times New Roman"/>
                <w:bCs/>
                <w:sz w:val="22"/>
                <w:szCs w:val="22"/>
              </w:rPr>
              <w:t>个及以上。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2-4</w:t>
            </w:r>
          </w:p>
          <w:p>
            <w:pPr>
              <w:adjustRightInd w:val="0"/>
              <w:snapToGrid w:val="0"/>
              <w:jc w:val="left"/>
              <w:rPr>
                <w:rStyle w:val="16"/>
                <w:rFonts w:ascii="Times New Roman" w:hAnsi="宋体" w:eastAsia="宋体"/>
                <w:color w:val="auto"/>
                <w:sz w:val="22"/>
                <w:lang w:eastAsia="zh-CN"/>
              </w:rPr>
            </w:pPr>
            <w:r>
              <w:rPr>
                <w:rStyle w:val="16"/>
                <w:rFonts w:hint="eastAsia" w:ascii="Times New Roman" w:hAnsi="宋体" w:eastAsia="宋体"/>
                <w:color w:val="auto"/>
                <w:sz w:val="22"/>
                <w:szCs w:val="22"/>
                <w:lang w:eastAsia="zh-CN"/>
              </w:rPr>
              <w:t>“</w:t>
            </w:r>
            <w:r>
              <w:rPr>
                <w:rStyle w:val="16"/>
                <w:rFonts w:ascii="Times New Roman" w:hAnsi="宋体" w:eastAsia="宋体"/>
                <w:color w:val="auto"/>
                <w:sz w:val="22"/>
                <w:lang w:eastAsia="zh-CN"/>
              </w:rPr>
              <w:t>双创”</w:t>
            </w:r>
          </w:p>
          <w:p>
            <w:pPr>
              <w:adjustRightInd w:val="0"/>
              <w:snapToGrid w:val="0"/>
              <w:ind w:firstLine="220" w:firstLineChars="100"/>
              <w:jc w:val="left"/>
              <w:rPr>
                <w:rFonts w:ascii="Times New Roman" w:hAnsi="Times New Roman" w:eastAsia="宋体" w:cs="Times New Roman"/>
                <w:bCs/>
                <w:sz w:val="22"/>
                <w:szCs w:val="22"/>
              </w:rPr>
            </w:pPr>
            <w:r>
              <w:rPr>
                <w:rStyle w:val="16"/>
                <w:rFonts w:ascii="Times New Roman" w:hAnsi="宋体" w:eastAsia="宋体"/>
                <w:color w:val="auto"/>
                <w:sz w:val="22"/>
                <w:lang w:eastAsia="zh-CN"/>
              </w:rPr>
              <w:t>教育</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2-4-1  </w:t>
            </w:r>
            <w:r>
              <w:rPr>
                <w:rFonts w:ascii="Times New Roman" w:hAnsi="宋体" w:eastAsia="宋体" w:cs="Times New Roman"/>
                <w:bCs/>
                <w:sz w:val="22"/>
                <w:szCs w:val="22"/>
              </w:rPr>
              <w:t>将创新创业教育贯穿人才培养全过程，成效显著。年均获得国家级</w:t>
            </w:r>
            <w:r>
              <w:rPr>
                <w:rFonts w:ascii="Times New Roman" w:hAnsi="Times New Roman" w:eastAsia="宋体" w:cs="Times New Roman"/>
                <w:bCs/>
                <w:sz w:val="22"/>
                <w:szCs w:val="22"/>
              </w:rPr>
              <w:t>A</w:t>
            </w:r>
            <w:r>
              <w:rPr>
                <w:rFonts w:ascii="Times New Roman" w:hAnsi="宋体" w:eastAsia="宋体" w:cs="Times New Roman"/>
                <w:bCs/>
                <w:sz w:val="22"/>
                <w:szCs w:val="22"/>
              </w:rPr>
              <w:t>类赛事一等奖或金奖</w:t>
            </w:r>
            <w:r>
              <w:rPr>
                <w:rStyle w:val="15"/>
                <w:rFonts w:ascii="Times New Roman" w:hAnsi="Times New Roman" w:eastAsia="宋体" w:cs="Times New Roman"/>
                <w:bCs/>
                <w:color w:val="auto"/>
                <w:sz w:val="22"/>
                <w:szCs w:val="22"/>
                <w:lang w:eastAsia="zh-CN"/>
              </w:rPr>
              <w:t>10</w:t>
            </w:r>
            <w:r>
              <w:rPr>
                <w:rStyle w:val="15"/>
                <w:rFonts w:ascii="Times New Roman" w:hAnsi="宋体" w:eastAsia="宋体" w:cs="Times New Roman"/>
                <w:bCs/>
                <w:color w:val="auto"/>
                <w:sz w:val="22"/>
                <w:szCs w:val="22"/>
                <w:lang w:eastAsia="zh-CN"/>
              </w:rPr>
              <w:t>项</w:t>
            </w:r>
            <w:r>
              <w:rPr>
                <w:rStyle w:val="16"/>
                <w:rFonts w:ascii="Times New Roman" w:hAnsi="宋体" w:eastAsia="宋体" w:cs="Times New Roman"/>
                <w:bCs/>
                <w:color w:val="auto"/>
                <w:sz w:val="22"/>
                <w:szCs w:val="22"/>
                <w:lang w:eastAsia="zh-CN"/>
              </w:rPr>
              <w:t>以上；或在全国同类院校排名前</w:t>
            </w:r>
            <w:r>
              <w:rPr>
                <w:rStyle w:val="16"/>
                <w:rFonts w:ascii="Times New Roman" w:hAnsi="Times New Roman" w:eastAsia="宋体" w:cs="Times New Roman"/>
                <w:bCs/>
                <w:color w:val="auto"/>
                <w:sz w:val="22"/>
                <w:szCs w:val="22"/>
                <w:lang w:eastAsia="zh-CN"/>
              </w:rPr>
              <w:t>30%</w:t>
            </w:r>
            <w:r>
              <w:rPr>
                <w:rStyle w:val="16"/>
                <w:rFonts w:ascii="Times New Roman" w:hAnsi="宋体" w:eastAsia="宋体" w:cs="Times New Roman"/>
                <w:bCs/>
                <w:color w:val="auto"/>
                <w:sz w:val="22"/>
                <w:szCs w:val="22"/>
                <w:lang w:eastAsia="zh-CN"/>
              </w:rPr>
              <w:t>或年均获得</w:t>
            </w:r>
            <w:r>
              <w:rPr>
                <w:rStyle w:val="16"/>
                <w:rFonts w:ascii="Times New Roman" w:hAnsi="Times New Roman" w:eastAsia="宋体" w:cs="Times New Roman"/>
                <w:bCs/>
                <w:color w:val="auto"/>
                <w:sz w:val="22"/>
                <w:szCs w:val="22"/>
                <w:lang w:eastAsia="zh-CN"/>
              </w:rPr>
              <w:t>A</w:t>
            </w:r>
            <w:r>
              <w:rPr>
                <w:rStyle w:val="16"/>
                <w:rFonts w:ascii="Times New Roman" w:hAnsi="宋体" w:eastAsia="宋体" w:cs="Times New Roman"/>
                <w:bCs/>
                <w:color w:val="auto"/>
                <w:sz w:val="22"/>
                <w:szCs w:val="22"/>
                <w:lang w:eastAsia="zh-CN"/>
              </w:rPr>
              <w:t>、</w:t>
            </w:r>
            <w:r>
              <w:rPr>
                <w:rStyle w:val="16"/>
                <w:rFonts w:ascii="Times New Roman" w:hAnsi="Times New Roman" w:eastAsia="宋体" w:cs="Times New Roman"/>
                <w:bCs/>
                <w:color w:val="auto"/>
                <w:sz w:val="22"/>
                <w:szCs w:val="22"/>
                <w:lang w:eastAsia="zh-CN"/>
              </w:rPr>
              <w:t>B</w:t>
            </w:r>
            <w:r>
              <w:rPr>
                <w:rStyle w:val="16"/>
                <w:rFonts w:ascii="Times New Roman" w:hAnsi="宋体" w:eastAsia="宋体" w:cs="Times New Roman"/>
                <w:bCs/>
                <w:color w:val="auto"/>
                <w:sz w:val="22"/>
                <w:szCs w:val="22"/>
                <w:lang w:eastAsia="zh-CN"/>
              </w:rPr>
              <w:t>类赛事得分全省前四位（具体计分方法另行制定）；或获批为全国深化创新创业教育改革示范高校</w:t>
            </w:r>
            <w:r>
              <w:rPr>
                <w:rFonts w:ascii="Times New Roman" w:hAnsi="宋体" w:eastAsia="宋体" w:cs="Times New Roman"/>
                <w:bCs/>
                <w:sz w:val="22"/>
                <w:szCs w:val="22"/>
              </w:rPr>
              <w:t>或全国创新创业典型经验高校</w:t>
            </w:r>
            <w:r>
              <w:rPr>
                <w:rStyle w:val="16"/>
                <w:rFonts w:ascii="Times New Roman" w:hAnsi="宋体" w:eastAsia="宋体" w:cs="Times New Roman"/>
                <w:bCs/>
                <w:color w:val="auto"/>
                <w:sz w:val="22"/>
                <w:szCs w:val="22"/>
                <w:lang w:eastAsia="zh-CN"/>
              </w:rPr>
              <w:t>。</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6" w:hRule="atLeast"/>
          <w:jc w:val="center"/>
        </w:trPr>
        <w:tc>
          <w:tcPr>
            <w:tcW w:w="438" w:type="pct"/>
            <w:vMerge w:val="continue"/>
            <w:tcBorders>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2-5</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教学改革</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2-5-1  </w:t>
            </w:r>
            <w:r>
              <w:rPr>
                <w:rFonts w:ascii="Times New Roman" w:hAnsi="宋体" w:eastAsia="宋体" w:cs="Times New Roman"/>
                <w:bCs/>
                <w:sz w:val="22"/>
                <w:szCs w:val="22"/>
              </w:rPr>
              <w:t>将现代信息技术与教育教学深度融合。</w:t>
            </w:r>
            <w:r>
              <w:rPr>
                <w:rStyle w:val="15"/>
                <w:rFonts w:ascii="Times New Roman" w:hAnsi="宋体" w:eastAsia="宋体" w:cs="Times New Roman"/>
                <w:bCs/>
                <w:color w:val="auto"/>
                <w:sz w:val="22"/>
                <w:szCs w:val="22"/>
                <w:lang w:eastAsia="zh-CN"/>
              </w:rPr>
              <w:t>获批各类国家级一流课程</w:t>
            </w:r>
            <w:r>
              <w:rPr>
                <w:rStyle w:val="15"/>
                <w:rFonts w:ascii="Times New Roman" w:hAnsi="Times New Roman" w:eastAsia="宋体" w:cs="Times New Roman"/>
                <w:bCs/>
                <w:color w:val="auto"/>
                <w:sz w:val="22"/>
                <w:szCs w:val="22"/>
                <w:lang w:eastAsia="zh-CN"/>
              </w:rPr>
              <w:t>10</w:t>
            </w:r>
            <w:r>
              <w:rPr>
                <w:rStyle w:val="15"/>
                <w:rFonts w:ascii="Times New Roman" w:hAnsi="宋体" w:eastAsia="宋体" w:cs="Times New Roman"/>
                <w:bCs/>
                <w:color w:val="auto"/>
                <w:sz w:val="22"/>
                <w:szCs w:val="22"/>
                <w:lang w:eastAsia="zh-CN"/>
              </w:rPr>
              <w:t>门以上。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2-5-2  </w:t>
            </w:r>
            <w:r>
              <w:rPr>
                <w:rFonts w:ascii="Times New Roman" w:hAnsi="宋体" w:eastAsia="宋体" w:cs="Times New Roman"/>
                <w:bCs/>
                <w:sz w:val="22"/>
                <w:szCs w:val="22"/>
              </w:rPr>
              <w:t>深化教育教学改革。承担国家级教育教学改革项目，主持有国家级新工科、新文科、新农科、新医科研究项目</w:t>
            </w:r>
            <w:r>
              <w:rPr>
                <w:rFonts w:ascii="Times New Roman" w:hAnsi="Times New Roman" w:eastAsia="宋体" w:cs="Times New Roman"/>
                <w:bCs/>
                <w:sz w:val="22"/>
                <w:szCs w:val="22"/>
              </w:rPr>
              <w:t>3</w:t>
            </w:r>
            <w:r>
              <w:rPr>
                <w:rFonts w:ascii="Times New Roman" w:hAnsi="宋体" w:eastAsia="宋体" w:cs="Times New Roman"/>
                <w:bCs/>
                <w:sz w:val="22"/>
                <w:szCs w:val="22"/>
              </w:rPr>
              <w:t>项以上，并取得实质性教学改革成果。</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2-6</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培养质量</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2-6-1  </w:t>
            </w:r>
            <w:r>
              <w:rPr>
                <w:rFonts w:ascii="Times New Roman" w:hAnsi="宋体" w:eastAsia="宋体" w:cs="Times New Roman"/>
                <w:bCs/>
                <w:sz w:val="22"/>
                <w:szCs w:val="22"/>
              </w:rPr>
              <w:t>学生就业质量高。本科生平均就业率在</w:t>
            </w:r>
            <w:r>
              <w:rPr>
                <w:rFonts w:ascii="Times New Roman" w:hAnsi="Times New Roman" w:eastAsia="宋体" w:cs="Times New Roman"/>
                <w:bCs/>
                <w:sz w:val="22"/>
                <w:szCs w:val="22"/>
              </w:rPr>
              <w:t>92%</w:t>
            </w:r>
            <w:r>
              <w:rPr>
                <w:rFonts w:ascii="Times New Roman" w:hAnsi="宋体" w:eastAsia="宋体" w:cs="Times New Roman"/>
                <w:bCs/>
                <w:sz w:val="22"/>
                <w:szCs w:val="22"/>
              </w:rPr>
              <w:t>以上</w:t>
            </w:r>
            <w:r>
              <w:rPr>
                <w:rStyle w:val="15"/>
                <w:rFonts w:ascii="Times New Roman" w:hAnsi="宋体" w:eastAsia="宋体" w:cs="Times New Roman"/>
                <w:bCs/>
                <w:color w:val="auto"/>
                <w:sz w:val="22"/>
                <w:szCs w:val="22"/>
                <w:lang w:eastAsia="zh-CN"/>
              </w:rPr>
              <w:t>，</w:t>
            </w:r>
            <w:r>
              <w:rPr>
                <w:rStyle w:val="16"/>
                <w:rFonts w:ascii="Times New Roman" w:hAnsi="宋体" w:eastAsia="宋体" w:cs="Times New Roman"/>
                <w:bCs/>
                <w:color w:val="auto"/>
                <w:sz w:val="22"/>
                <w:szCs w:val="22"/>
                <w:lang w:eastAsia="zh-CN"/>
              </w:rPr>
              <w:t>省内就业率不低于</w:t>
            </w:r>
            <w:r>
              <w:rPr>
                <w:rStyle w:val="16"/>
                <w:rFonts w:ascii="Times New Roman" w:hAnsi="Times New Roman" w:eastAsia="宋体" w:cs="Times New Roman"/>
                <w:bCs/>
                <w:color w:val="auto"/>
                <w:sz w:val="22"/>
                <w:szCs w:val="22"/>
                <w:lang w:eastAsia="zh-CN"/>
              </w:rPr>
              <w:t>50%</w:t>
            </w:r>
            <w:r>
              <w:rPr>
                <w:rStyle w:val="16"/>
                <w:rFonts w:ascii="Times New Roman" w:hAnsi="宋体" w:eastAsia="宋体" w:cs="Times New Roman"/>
                <w:bCs/>
                <w:color w:val="auto"/>
                <w:sz w:val="22"/>
                <w:szCs w:val="22"/>
                <w:lang w:eastAsia="zh-CN"/>
              </w:rPr>
              <w:t>。考取</w:t>
            </w:r>
            <w:r>
              <w:rPr>
                <w:rStyle w:val="16"/>
                <w:rFonts w:hint="eastAsia" w:ascii="Times New Roman" w:hAnsi="宋体" w:eastAsia="宋体" w:cs="Times New Roman"/>
                <w:bCs/>
                <w:color w:val="auto"/>
                <w:sz w:val="22"/>
                <w:szCs w:val="22"/>
                <w:lang w:eastAsia="zh-CN"/>
              </w:rPr>
              <w:t>“双一流”</w:t>
            </w:r>
            <w:r>
              <w:rPr>
                <w:rStyle w:val="16"/>
                <w:rFonts w:ascii="Times New Roman" w:hAnsi="宋体" w:eastAsia="宋体" w:cs="Times New Roman"/>
                <w:bCs/>
                <w:color w:val="auto"/>
                <w:sz w:val="22"/>
                <w:szCs w:val="22"/>
                <w:lang w:eastAsia="zh-CN"/>
              </w:rPr>
              <w:t>高校研究生占本科毕业生比例达</w:t>
            </w:r>
            <w:r>
              <w:rPr>
                <w:rStyle w:val="16"/>
                <w:rFonts w:ascii="Times New Roman" w:hAnsi="Times New Roman" w:eastAsia="宋体" w:cs="Times New Roman"/>
                <w:bCs/>
                <w:color w:val="auto"/>
                <w:sz w:val="22"/>
                <w:szCs w:val="22"/>
                <w:lang w:eastAsia="zh-CN"/>
              </w:rPr>
              <w:t>20%</w:t>
            </w:r>
            <w:r>
              <w:rPr>
                <w:rStyle w:val="16"/>
                <w:rFonts w:ascii="Times New Roman" w:hAnsi="宋体" w:eastAsia="宋体" w:cs="Times New Roman"/>
                <w:bCs/>
                <w:color w:val="auto"/>
                <w:sz w:val="22"/>
                <w:szCs w:val="22"/>
                <w:lang w:eastAsia="zh-CN"/>
              </w:rPr>
              <w:t>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2-6-2  </w:t>
            </w:r>
            <w:r>
              <w:rPr>
                <w:rFonts w:ascii="Times New Roman" w:hAnsi="宋体" w:eastAsia="宋体" w:cs="Times New Roman"/>
                <w:bCs/>
                <w:sz w:val="22"/>
                <w:szCs w:val="22"/>
              </w:rPr>
              <w:t>学生获得感强。毕业生满意度</w:t>
            </w:r>
            <w:r>
              <w:rPr>
                <w:rFonts w:ascii="Times New Roman" w:hAnsi="Times New Roman" w:eastAsia="宋体" w:cs="Times New Roman"/>
                <w:bCs/>
                <w:sz w:val="22"/>
                <w:szCs w:val="22"/>
              </w:rPr>
              <w:t>85%</w:t>
            </w:r>
            <w:r>
              <w:rPr>
                <w:rFonts w:ascii="Times New Roman" w:hAnsi="宋体" w:eastAsia="宋体" w:cs="Times New Roman"/>
                <w:bCs/>
                <w:sz w:val="22"/>
                <w:szCs w:val="22"/>
              </w:rPr>
              <w:t>以上；生均本科生发表论文数（三类以上期刊）或发明专利等成果数或生均本科生国家级创新创业项目数在省属高校排名前</w:t>
            </w:r>
            <w:r>
              <w:rPr>
                <w:rFonts w:ascii="Times New Roman" w:hAnsi="Times New Roman" w:eastAsia="宋体" w:cs="Times New Roman"/>
                <w:bCs/>
                <w:sz w:val="22"/>
                <w:szCs w:val="22"/>
              </w:rPr>
              <w:t>10%</w:t>
            </w:r>
            <w:r>
              <w:rPr>
                <w:rFonts w:ascii="Times New Roman" w:hAnsi="宋体" w:eastAsia="宋体" w:cs="Times New Roman"/>
                <w:bCs/>
                <w:sz w:val="22"/>
                <w:szCs w:val="22"/>
              </w:rPr>
              <w:t>；或获得省级以上优秀硕士、博士学位论文</w:t>
            </w:r>
            <w:r>
              <w:rPr>
                <w:rFonts w:ascii="Times New Roman" w:hAnsi="Times New Roman" w:eastAsia="宋体" w:cs="Times New Roman"/>
                <w:bCs/>
                <w:sz w:val="22"/>
                <w:szCs w:val="22"/>
              </w:rPr>
              <w:t>2</w:t>
            </w:r>
            <w:r>
              <w:rPr>
                <w:rFonts w:ascii="Times New Roman" w:hAnsi="宋体" w:eastAsia="宋体" w:cs="Times New Roman"/>
                <w:bCs/>
                <w:sz w:val="22"/>
                <w:szCs w:val="22"/>
              </w:rPr>
              <w:t>篇以上；硕士博士学位论文抽检合格率</w:t>
            </w:r>
            <w:r>
              <w:rPr>
                <w:rFonts w:ascii="Times New Roman" w:hAnsi="Times New Roman" w:eastAsia="宋体" w:cs="Times New Roman"/>
                <w:bCs/>
                <w:sz w:val="22"/>
                <w:szCs w:val="22"/>
              </w:rPr>
              <w:t>100%</w:t>
            </w:r>
            <w:r>
              <w:rPr>
                <w:rFonts w:ascii="Times New Roman" w:hAnsi="宋体" w:eastAsia="宋体" w:cs="Times New Roman"/>
                <w:bCs/>
                <w:sz w:val="22"/>
                <w:szCs w:val="22"/>
              </w:rPr>
              <w:t>。</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3.</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内涵建设</w:t>
            </w: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3-1</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师资队伍</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3-1-1  </w:t>
            </w:r>
            <w:r>
              <w:rPr>
                <w:rFonts w:ascii="Times New Roman" w:hAnsi="宋体" w:eastAsia="宋体" w:cs="Times New Roman"/>
                <w:bCs/>
                <w:sz w:val="22"/>
                <w:szCs w:val="22"/>
              </w:rPr>
              <w:t>师资队伍数量充足、结构合理、素质优良。生师比</w:t>
            </w:r>
            <w:r>
              <w:rPr>
                <w:rFonts w:ascii="宋体" w:hAnsi="宋体" w:eastAsia="宋体" w:cs="Times New Roman"/>
                <w:bCs/>
                <w:sz w:val="22"/>
                <w:szCs w:val="22"/>
              </w:rPr>
              <w:t>≤</w:t>
            </w:r>
            <w:r>
              <w:rPr>
                <w:rFonts w:ascii="Times New Roman" w:hAnsi="Times New Roman" w:eastAsia="宋体" w:cs="Times New Roman"/>
                <w:bCs/>
                <w:sz w:val="22"/>
                <w:szCs w:val="22"/>
              </w:rPr>
              <w:t>16</w:t>
            </w:r>
            <w:r>
              <w:rPr>
                <w:rFonts w:ascii="Times New Roman" w:hAnsi="宋体" w:eastAsia="宋体" w:cs="Times New Roman"/>
                <w:bCs/>
                <w:sz w:val="22"/>
                <w:szCs w:val="22"/>
              </w:rPr>
              <w:t>；具有博士学位的教师占专任教师的比例</w:t>
            </w:r>
            <w:r>
              <w:rPr>
                <w:rFonts w:ascii="宋体" w:hAnsi="宋体" w:eastAsia="宋体" w:cs="Times New Roman"/>
                <w:bCs/>
                <w:sz w:val="22"/>
                <w:szCs w:val="22"/>
              </w:rPr>
              <w:t>≥</w:t>
            </w:r>
            <w:r>
              <w:rPr>
                <w:rFonts w:ascii="Times New Roman" w:hAnsi="Times New Roman" w:eastAsia="宋体" w:cs="Times New Roman"/>
                <w:bCs/>
                <w:sz w:val="22"/>
                <w:szCs w:val="22"/>
              </w:rPr>
              <w:t>45%</w:t>
            </w:r>
            <w:r>
              <w:rPr>
                <w:rFonts w:ascii="Times New Roman" w:hAnsi="宋体" w:eastAsia="宋体" w:cs="Times New Roman"/>
                <w:bCs/>
                <w:sz w:val="22"/>
                <w:szCs w:val="22"/>
              </w:rPr>
              <w:t>；具有海外经历的教师比例</w:t>
            </w:r>
            <w:r>
              <w:rPr>
                <w:rFonts w:ascii="宋体" w:hAnsi="宋体" w:eastAsia="宋体" w:cs="Times New Roman"/>
                <w:bCs/>
                <w:sz w:val="22"/>
                <w:szCs w:val="22"/>
              </w:rPr>
              <w:t>≥</w:t>
            </w:r>
            <w:r>
              <w:rPr>
                <w:rFonts w:ascii="Times New Roman" w:hAnsi="Times New Roman" w:eastAsia="宋体" w:cs="Times New Roman"/>
                <w:bCs/>
                <w:sz w:val="22"/>
                <w:szCs w:val="22"/>
              </w:rPr>
              <w:t>15%</w:t>
            </w:r>
            <w:r>
              <w:rPr>
                <w:rFonts w:ascii="Times New Roman" w:hAnsi="宋体" w:eastAsia="宋体" w:cs="Times New Roman"/>
                <w:bCs/>
                <w:sz w:val="22"/>
                <w:szCs w:val="22"/>
              </w:rPr>
              <w:t>。</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3-1-2  </w:t>
            </w:r>
            <w:r>
              <w:rPr>
                <w:rFonts w:ascii="Times New Roman" w:hAnsi="宋体" w:eastAsia="宋体" w:cs="Times New Roman"/>
                <w:bCs/>
                <w:sz w:val="22"/>
                <w:szCs w:val="22"/>
              </w:rPr>
              <w:t>教师团队建设。有国家级教师团队（创新团队、教学团队等）</w:t>
            </w:r>
            <w:r>
              <w:rPr>
                <w:rFonts w:ascii="Times New Roman" w:hAnsi="Times New Roman" w:eastAsia="宋体" w:cs="Times New Roman"/>
                <w:bCs/>
                <w:sz w:val="22"/>
                <w:szCs w:val="22"/>
              </w:rPr>
              <w:t>1</w:t>
            </w:r>
            <w:r>
              <w:rPr>
                <w:rFonts w:ascii="Times New Roman" w:hAnsi="宋体" w:eastAsia="宋体" w:cs="Times New Roman"/>
                <w:bCs/>
                <w:sz w:val="22"/>
                <w:szCs w:val="22"/>
              </w:rPr>
              <w:t>个以上；或教育部课程思政教学名师或团队</w:t>
            </w:r>
            <w:r>
              <w:rPr>
                <w:rFonts w:ascii="Times New Roman" w:hAnsi="Times New Roman" w:eastAsia="宋体" w:cs="Times New Roman"/>
                <w:bCs/>
                <w:sz w:val="22"/>
                <w:szCs w:val="22"/>
              </w:rPr>
              <w:t>1</w:t>
            </w:r>
            <w:r>
              <w:rPr>
                <w:rFonts w:ascii="Times New Roman" w:hAnsi="宋体" w:eastAsia="宋体" w:cs="Times New Roman"/>
                <w:bCs/>
                <w:sz w:val="22"/>
                <w:szCs w:val="22"/>
              </w:rPr>
              <w:t>个以上。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3-1-3  </w:t>
            </w:r>
            <w:r>
              <w:rPr>
                <w:rFonts w:ascii="Times New Roman" w:hAnsi="宋体" w:eastAsia="宋体" w:cs="Times New Roman"/>
                <w:bCs/>
                <w:sz w:val="22"/>
                <w:szCs w:val="22"/>
              </w:rPr>
              <w:t>重视战略科学家及学科、学术带头人建设。引培三类以上人才效果明显，数量逐年增加；重视冷门绝学、特色学科专业、紧缺学科专业队伍建设，</w:t>
            </w:r>
            <w:r>
              <w:rPr>
                <w:rFonts w:ascii="宋体" w:hAnsi="宋体" w:eastAsia="宋体" w:cs="Times New Roman"/>
                <w:bCs/>
                <w:sz w:val="22"/>
                <w:szCs w:val="22"/>
              </w:rPr>
              <w:t>有“国医大</w:t>
            </w:r>
            <w:r>
              <w:rPr>
                <w:rFonts w:hint="eastAsia" w:ascii="宋体" w:hAnsi="宋体" w:eastAsia="宋体" w:cs="Times New Roman"/>
                <w:bCs/>
                <w:sz w:val="22"/>
                <w:szCs w:val="22"/>
              </w:rPr>
              <w:t>师”“国医名师”、徽工皖匠等特殊人才</w:t>
            </w:r>
            <w:r>
              <w:rPr>
                <w:rFonts w:ascii="Times New Roman" w:hAnsi="宋体" w:eastAsia="宋体" w:cs="Times New Roman"/>
                <w:bCs/>
                <w:sz w:val="22"/>
                <w:szCs w:val="22"/>
              </w:rPr>
              <w:t>；有从长三角及其他地区引进的校长、副校长，院长、执行院长、学科带头人、高端科研平台首席专家等。</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3-1-4  </w:t>
            </w:r>
            <w:r>
              <w:rPr>
                <w:rFonts w:ascii="Times New Roman" w:hAnsi="宋体" w:eastAsia="宋体" w:cs="Times New Roman"/>
                <w:bCs/>
                <w:sz w:val="22"/>
                <w:szCs w:val="22"/>
              </w:rPr>
              <w:t>有教师思想政治工作和教学能力发展的专门机构。设立党委教师工作部；教师能力发展中心运行良好，效果明显；近三年教师获得省级以上教学能力大赛一等奖以上不少于</w:t>
            </w:r>
            <w:r>
              <w:rPr>
                <w:rFonts w:ascii="Times New Roman" w:hAnsi="Times New Roman" w:eastAsia="宋体" w:cs="Times New Roman"/>
                <w:bCs/>
                <w:sz w:val="22"/>
                <w:szCs w:val="22"/>
              </w:rPr>
              <w:t>2</w:t>
            </w:r>
            <w:r>
              <w:rPr>
                <w:rFonts w:ascii="Times New Roman" w:hAnsi="宋体" w:eastAsia="宋体" w:cs="Times New Roman"/>
                <w:bCs/>
                <w:sz w:val="22"/>
                <w:szCs w:val="22"/>
              </w:rPr>
              <w:t>人。</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3-1-5  </w:t>
            </w:r>
            <w:r>
              <w:rPr>
                <w:rFonts w:ascii="Times New Roman" w:hAnsi="宋体" w:eastAsia="宋体" w:cs="Times New Roman"/>
                <w:bCs/>
                <w:sz w:val="22"/>
                <w:szCs w:val="22"/>
              </w:rPr>
              <w:t>重视师德师风建设。教师获得国家级奖励</w:t>
            </w:r>
            <w:r>
              <w:rPr>
                <w:rFonts w:ascii="Times New Roman" w:hAnsi="Times New Roman" w:eastAsia="宋体" w:cs="Times New Roman"/>
                <w:bCs/>
                <w:sz w:val="22"/>
                <w:szCs w:val="22"/>
              </w:rPr>
              <w:t>1</w:t>
            </w:r>
            <w:r>
              <w:rPr>
                <w:rFonts w:ascii="Times New Roman" w:hAnsi="宋体" w:eastAsia="宋体" w:cs="Times New Roman"/>
                <w:bCs/>
                <w:sz w:val="22"/>
                <w:szCs w:val="22"/>
              </w:rPr>
              <w:t>人（次、项）以上。未发生师德师风负面事件。</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3-1-6  </w:t>
            </w:r>
            <w:r>
              <w:rPr>
                <w:rFonts w:ascii="Times New Roman" w:hAnsi="宋体" w:eastAsia="宋体" w:cs="Times New Roman"/>
                <w:bCs/>
                <w:sz w:val="22"/>
                <w:szCs w:val="22"/>
              </w:rPr>
              <w:t>切实落实教授全员为本科生上课的要求。教授为本科生上课率</w:t>
            </w:r>
            <w:r>
              <w:rPr>
                <w:rFonts w:ascii="Times New Roman" w:hAnsi="Times New Roman" w:eastAsia="宋体" w:cs="Times New Roman"/>
                <w:bCs/>
                <w:sz w:val="22"/>
                <w:szCs w:val="22"/>
              </w:rPr>
              <w:t>100%</w:t>
            </w:r>
            <w:r>
              <w:rPr>
                <w:rFonts w:ascii="Times New Roman" w:hAnsi="宋体" w:eastAsia="宋体" w:cs="Times New Roman"/>
                <w:bCs/>
                <w:sz w:val="22"/>
                <w:szCs w:val="22"/>
              </w:rPr>
              <w:t>，每学年不少于</w:t>
            </w:r>
            <w:r>
              <w:rPr>
                <w:rFonts w:ascii="Times New Roman" w:hAnsi="Times New Roman" w:eastAsia="宋体" w:cs="Times New Roman"/>
                <w:bCs/>
                <w:sz w:val="22"/>
                <w:szCs w:val="22"/>
              </w:rPr>
              <w:t>32</w:t>
            </w:r>
            <w:r>
              <w:rPr>
                <w:rFonts w:ascii="Times New Roman" w:hAnsi="宋体" w:eastAsia="宋体" w:cs="Times New Roman"/>
                <w:bCs/>
                <w:sz w:val="22"/>
                <w:szCs w:val="22"/>
              </w:rPr>
              <w:t>学时，每学年不少于</w:t>
            </w:r>
            <w:r>
              <w:rPr>
                <w:rFonts w:ascii="Times New Roman" w:hAnsi="Times New Roman" w:eastAsia="宋体" w:cs="Times New Roman"/>
                <w:bCs/>
                <w:sz w:val="22"/>
                <w:szCs w:val="22"/>
              </w:rPr>
              <w:t>1</w:t>
            </w:r>
            <w:r>
              <w:rPr>
                <w:rFonts w:ascii="Times New Roman" w:hAnsi="宋体" w:eastAsia="宋体" w:cs="Times New Roman"/>
                <w:bCs/>
                <w:sz w:val="22"/>
                <w:szCs w:val="22"/>
              </w:rPr>
              <w:t>门课程（病假、产假、进修、访学等除外）。</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14"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3-2</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学科建设</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3-2-1  </w:t>
            </w:r>
            <w:r>
              <w:rPr>
                <w:rFonts w:ascii="Times New Roman" w:hAnsi="宋体" w:eastAsia="宋体" w:cs="Times New Roman"/>
                <w:bCs/>
                <w:sz w:val="22"/>
                <w:szCs w:val="22"/>
              </w:rPr>
              <w:t>学科发展水平较高，若干学科达到或接近国际一流水平。</w:t>
            </w:r>
            <w:r>
              <w:rPr>
                <w:rFonts w:ascii="Times New Roman" w:hAnsi="Times New Roman" w:eastAsia="宋体" w:cs="Times New Roman"/>
                <w:bCs/>
                <w:sz w:val="22"/>
                <w:szCs w:val="22"/>
              </w:rPr>
              <w:t>ESI</w:t>
            </w:r>
            <w:r>
              <w:rPr>
                <w:rFonts w:ascii="Times New Roman" w:hAnsi="宋体" w:eastAsia="宋体" w:cs="Times New Roman"/>
                <w:bCs/>
                <w:sz w:val="22"/>
                <w:szCs w:val="22"/>
              </w:rPr>
              <w:t>前</w:t>
            </w:r>
            <w:r>
              <w:rPr>
                <w:rFonts w:ascii="Times New Roman" w:hAnsi="Times New Roman" w:eastAsia="宋体" w:cs="Times New Roman"/>
                <w:bCs/>
                <w:sz w:val="22"/>
                <w:szCs w:val="22"/>
              </w:rPr>
              <w:t>1%</w:t>
            </w:r>
            <w:r>
              <w:rPr>
                <w:rFonts w:ascii="Times New Roman" w:hAnsi="宋体" w:eastAsia="宋体" w:cs="Times New Roman"/>
                <w:bCs/>
                <w:sz w:val="22"/>
                <w:szCs w:val="22"/>
              </w:rPr>
              <w:t>学科</w:t>
            </w:r>
            <w:r>
              <w:rPr>
                <w:rFonts w:ascii="Times New Roman" w:hAnsi="Times New Roman" w:eastAsia="宋体" w:cs="Times New Roman"/>
                <w:bCs/>
                <w:sz w:val="22"/>
                <w:szCs w:val="22"/>
              </w:rPr>
              <w:t>1</w:t>
            </w:r>
            <w:r>
              <w:rPr>
                <w:rFonts w:ascii="Times New Roman" w:hAnsi="宋体" w:eastAsia="宋体" w:cs="Times New Roman"/>
                <w:bCs/>
                <w:sz w:val="22"/>
                <w:szCs w:val="22"/>
              </w:rPr>
              <w:t>个以上；或在国际公认的学科排名中有</w:t>
            </w:r>
            <w:r>
              <w:rPr>
                <w:rFonts w:ascii="Times New Roman" w:hAnsi="Times New Roman" w:eastAsia="宋体" w:cs="Times New Roman"/>
                <w:bCs/>
                <w:sz w:val="22"/>
                <w:szCs w:val="22"/>
              </w:rPr>
              <w:t>1</w:t>
            </w:r>
            <w:r>
              <w:rPr>
                <w:rFonts w:ascii="Times New Roman" w:hAnsi="宋体" w:eastAsia="宋体" w:cs="Times New Roman"/>
                <w:bCs/>
                <w:sz w:val="22"/>
                <w:szCs w:val="22"/>
              </w:rPr>
              <w:t>个以上学科排前</w:t>
            </w:r>
            <w:r>
              <w:rPr>
                <w:rFonts w:ascii="Times New Roman" w:hAnsi="Times New Roman" w:eastAsia="宋体" w:cs="Times New Roman"/>
                <w:bCs/>
                <w:sz w:val="22"/>
                <w:szCs w:val="22"/>
              </w:rPr>
              <w:t>30%</w:t>
            </w:r>
            <w:r>
              <w:rPr>
                <w:rFonts w:ascii="Times New Roman" w:hAnsi="宋体" w:eastAsia="宋体" w:cs="Times New Roman"/>
                <w:bCs/>
                <w:sz w:val="22"/>
                <w:szCs w:val="22"/>
              </w:rPr>
              <w:t>。</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3-2-2  </w:t>
            </w:r>
            <w:r>
              <w:rPr>
                <w:rFonts w:ascii="Times New Roman" w:hAnsi="宋体" w:eastAsia="宋体" w:cs="Times New Roman"/>
                <w:bCs/>
                <w:sz w:val="22"/>
                <w:szCs w:val="22"/>
              </w:rPr>
              <w:t>学科建设成效突出，一批学科达到国内领先水平。教育部全国高校学科评估获</w:t>
            </w:r>
            <w:r>
              <w:rPr>
                <w:rFonts w:ascii="Times New Roman" w:hAnsi="Times New Roman" w:eastAsia="宋体" w:cs="Times New Roman"/>
                <w:bCs/>
                <w:sz w:val="22"/>
                <w:szCs w:val="22"/>
              </w:rPr>
              <w:t>B+</w:t>
            </w:r>
            <w:r>
              <w:rPr>
                <w:rFonts w:ascii="Times New Roman" w:hAnsi="宋体" w:eastAsia="宋体" w:cs="Times New Roman"/>
                <w:bCs/>
                <w:sz w:val="22"/>
                <w:szCs w:val="22"/>
              </w:rPr>
              <w:t>等级</w:t>
            </w:r>
            <w:r>
              <w:rPr>
                <w:rFonts w:ascii="Times New Roman" w:hAnsi="Times New Roman" w:eastAsia="宋体" w:cs="Times New Roman"/>
                <w:bCs/>
                <w:sz w:val="22"/>
                <w:szCs w:val="22"/>
              </w:rPr>
              <w:t>1</w:t>
            </w:r>
            <w:r>
              <w:rPr>
                <w:rFonts w:ascii="Times New Roman" w:hAnsi="宋体" w:eastAsia="宋体" w:cs="Times New Roman"/>
                <w:bCs/>
                <w:sz w:val="22"/>
                <w:szCs w:val="22"/>
              </w:rPr>
              <w:t>个或</w:t>
            </w:r>
            <w:r>
              <w:rPr>
                <w:rFonts w:ascii="Times New Roman" w:hAnsi="Times New Roman" w:eastAsia="宋体" w:cs="Times New Roman"/>
                <w:bCs/>
                <w:sz w:val="22"/>
                <w:szCs w:val="22"/>
              </w:rPr>
              <w:t>B</w:t>
            </w:r>
            <w:r>
              <w:rPr>
                <w:rFonts w:ascii="Times New Roman" w:hAnsi="宋体" w:eastAsia="宋体" w:cs="Times New Roman"/>
                <w:bCs/>
                <w:sz w:val="22"/>
                <w:szCs w:val="22"/>
              </w:rPr>
              <w:t>等级</w:t>
            </w:r>
            <w:r>
              <w:rPr>
                <w:rFonts w:ascii="Times New Roman" w:hAnsi="Times New Roman" w:eastAsia="宋体" w:cs="Times New Roman"/>
                <w:bCs/>
                <w:sz w:val="22"/>
                <w:szCs w:val="22"/>
              </w:rPr>
              <w:t>2</w:t>
            </w:r>
            <w:r>
              <w:rPr>
                <w:rFonts w:ascii="Times New Roman" w:hAnsi="宋体" w:eastAsia="宋体" w:cs="Times New Roman"/>
                <w:bCs/>
                <w:sz w:val="22"/>
                <w:szCs w:val="22"/>
              </w:rPr>
              <w:t>个以上；省级</w:t>
            </w:r>
            <w:r>
              <w:rPr>
                <w:rFonts w:ascii="Times New Roman" w:hAnsi="Times New Roman" w:eastAsia="宋体" w:cs="Times New Roman"/>
                <w:bCs/>
                <w:sz w:val="22"/>
                <w:szCs w:val="22"/>
              </w:rPr>
              <w:t>Ⅱ</w:t>
            </w:r>
            <w:r>
              <w:rPr>
                <w:rFonts w:ascii="Times New Roman" w:hAnsi="宋体" w:eastAsia="宋体" w:cs="Times New Roman"/>
                <w:bCs/>
                <w:sz w:val="22"/>
                <w:szCs w:val="22"/>
              </w:rPr>
              <w:t>类高峰学科不少于</w:t>
            </w:r>
            <w:r>
              <w:rPr>
                <w:rFonts w:ascii="Times New Roman" w:hAnsi="Times New Roman" w:eastAsia="宋体" w:cs="Times New Roman"/>
                <w:bCs/>
                <w:sz w:val="22"/>
                <w:szCs w:val="22"/>
              </w:rPr>
              <w:t>1</w:t>
            </w:r>
            <w:r>
              <w:rPr>
                <w:rFonts w:ascii="Times New Roman" w:hAnsi="宋体" w:eastAsia="宋体" w:cs="Times New Roman"/>
                <w:bCs/>
                <w:sz w:val="22"/>
                <w:szCs w:val="22"/>
              </w:rPr>
              <w:t>个。</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3-2-3  </w:t>
            </w:r>
            <w:r>
              <w:rPr>
                <w:rFonts w:ascii="Times New Roman" w:hAnsi="宋体" w:eastAsia="宋体" w:cs="Times New Roman"/>
                <w:bCs/>
                <w:sz w:val="22"/>
                <w:szCs w:val="22"/>
              </w:rPr>
              <w:t>教育链、人才链和创新链、产业链精准对接，学科对产业支撑作用明显。组建优势特色学科（群）</w:t>
            </w:r>
            <w:r>
              <w:rPr>
                <w:rFonts w:ascii="Times New Roman" w:hAnsi="Times New Roman" w:eastAsia="宋体" w:cs="Times New Roman"/>
                <w:bCs/>
                <w:sz w:val="22"/>
                <w:szCs w:val="22"/>
              </w:rPr>
              <w:t>5</w:t>
            </w:r>
            <w:r>
              <w:rPr>
                <w:rFonts w:ascii="Times New Roman" w:hAnsi="宋体" w:eastAsia="宋体" w:cs="Times New Roman"/>
                <w:bCs/>
                <w:sz w:val="22"/>
                <w:szCs w:val="22"/>
              </w:rPr>
              <w:t>个以上，且能支撑安徽省支柱产业、战略性新兴产业。</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3-3</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专业建设</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3-3-1  </w:t>
            </w:r>
            <w:r>
              <w:rPr>
                <w:rFonts w:ascii="Times New Roman" w:hAnsi="宋体" w:eastAsia="宋体" w:cs="Times New Roman"/>
                <w:bCs/>
                <w:sz w:val="22"/>
                <w:szCs w:val="22"/>
              </w:rPr>
              <w:t>专业建设水平较高。</w:t>
            </w:r>
            <w:r>
              <w:rPr>
                <w:rFonts w:hint="eastAsia" w:ascii="Times New Roman" w:hAnsi="宋体" w:eastAsia="宋体" w:cs="Times New Roman"/>
                <w:bCs/>
                <w:sz w:val="22"/>
                <w:szCs w:val="22"/>
              </w:rPr>
              <w:t>“双一流”建设高校国家级“双万”专业建设点不少于</w:t>
            </w:r>
            <w:r>
              <w:rPr>
                <w:rFonts w:ascii="Times New Roman" w:hAnsi="Times New Roman" w:eastAsia="宋体" w:cs="Times New Roman"/>
                <w:bCs/>
                <w:sz w:val="22"/>
                <w:szCs w:val="22"/>
              </w:rPr>
              <w:t>30</w:t>
            </w:r>
            <w:r>
              <w:rPr>
                <w:rFonts w:ascii="Times New Roman" w:hAnsi="宋体" w:eastAsia="宋体" w:cs="Times New Roman"/>
                <w:bCs/>
                <w:sz w:val="22"/>
                <w:szCs w:val="22"/>
              </w:rPr>
              <w:t>个，其余高校不少于</w:t>
            </w:r>
            <w:r>
              <w:rPr>
                <w:rFonts w:ascii="Times New Roman" w:hAnsi="Times New Roman" w:eastAsia="宋体" w:cs="Times New Roman"/>
                <w:bCs/>
                <w:sz w:val="22"/>
                <w:szCs w:val="22"/>
              </w:rPr>
              <w:t>15</w:t>
            </w:r>
            <w:r>
              <w:rPr>
                <w:rFonts w:ascii="Times New Roman" w:hAnsi="宋体" w:eastAsia="宋体" w:cs="Times New Roman"/>
                <w:bCs/>
                <w:sz w:val="22"/>
                <w:szCs w:val="22"/>
              </w:rPr>
              <w:t>个。</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3-3-2  </w:t>
            </w:r>
            <w:r>
              <w:rPr>
                <w:rFonts w:ascii="Times New Roman" w:hAnsi="宋体" w:eastAsia="宋体" w:cs="Times New Roman"/>
                <w:bCs/>
                <w:sz w:val="22"/>
                <w:szCs w:val="22"/>
              </w:rPr>
              <w:t>建立专业“保合格、上水平、追卓越”三级评估制度。通过教育部或相关部委受理专业认证（评估）专业数不少于</w:t>
            </w:r>
            <w:r>
              <w:rPr>
                <w:rFonts w:ascii="Times New Roman" w:hAnsi="Times New Roman" w:eastAsia="宋体" w:cs="Times New Roman"/>
                <w:bCs/>
                <w:sz w:val="22"/>
                <w:szCs w:val="22"/>
              </w:rPr>
              <w:t>20%</w:t>
            </w:r>
            <w:r>
              <w:rPr>
                <w:rFonts w:ascii="Times New Roman" w:hAnsi="宋体" w:eastAsia="宋体" w:cs="Times New Roman"/>
                <w:bCs/>
                <w:sz w:val="22"/>
                <w:szCs w:val="22"/>
              </w:rPr>
              <w:t>，或年均</w:t>
            </w:r>
            <w:r>
              <w:rPr>
                <w:rFonts w:ascii="Times New Roman" w:hAnsi="Times New Roman" w:eastAsia="宋体" w:cs="Times New Roman"/>
                <w:bCs/>
                <w:sz w:val="22"/>
                <w:szCs w:val="22"/>
              </w:rPr>
              <w:t>3</w:t>
            </w:r>
            <w:r>
              <w:rPr>
                <w:rFonts w:ascii="Times New Roman" w:hAnsi="宋体" w:eastAsia="宋体" w:cs="Times New Roman"/>
                <w:bCs/>
                <w:sz w:val="22"/>
                <w:szCs w:val="22"/>
              </w:rPr>
              <w:t>个专业通过专业认证；或若干专业通过国际认证。</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3-3-3  </w:t>
            </w:r>
            <w:r>
              <w:rPr>
                <w:rFonts w:ascii="Times New Roman" w:hAnsi="宋体" w:eastAsia="宋体" w:cs="Times New Roman"/>
                <w:bCs/>
                <w:sz w:val="22"/>
                <w:szCs w:val="22"/>
              </w:rPr>
              <w:t>专业结构不断优化。对应十大新兴产业的专业不少于</w:t>
            </w:r>
            <w:r>
              <w:rPr>
                <w:rFonts w:ascii="Times New Roman" w:hAnsi="Times New Roman" w:eastAsia="宋体" w:cs="Times New Roman"/>
                <w:bCs/>
                <w:sz w:val="22"/>
                <w:szCs w:val="22"/>
              </w:rPr>
              <w:t>20</w:t>
            </w:r>
            <w:r>
              <w:rPr>
                <w:rFonts w:ascii="Times New Roman" w:hAnsi="宋体" w:eastAsia="宋体" w:cs="Times New Roman"/>
                <w:bCs/>
                <w:sz w:val="22"/>
                <w:szCs w:val="22"/>
              </w:rPr>
              <w:t>个。建立了专业准入、退出机制。</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3-4</w:t>
            </w:r>
          </w:p>
          <w:p>
            <w:pPr>
              <w:adjustRightInd w:val="0"/>
              <w:snapToGrid w:val="0"/>
              <w:jc w:val="left"/>
              <w:rPr>
                <w:rFonts w:ascii="Times New Roman" w:hAnsi="Times New Roman" w:eastAsia="宋体" w:cs="Times New Roman"/>
                <w:bCs/>
                <w:sz w:val="22"/>
                <w:szCs w:val="22"/>
              </w:rPr>
            </w:pPr>
            <w:r>
              <w:rPr>
                <w:rFonts w:ascii="Times New Roman" w:hAnsi="宋体" w:eastAsia="宋体" w:cs="Times New Roman"/>
                <w:bCs/>
                <w:sz w:val="22"/>
                <w:szCs w:val="22"/>
              </w:rPr>
              <w:t>课程与教材建设</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 xml:space="preserve">3-4-1 </w:t>
            </w:r>
            <w:r>
              <w:rPr>
                <w:rFonts w:ascii="Times New Roman" w:hAnsi="宋体" w:eastAsia="宋体" w:cs="Times New Roman"/>
                <w:bCs/>
                <w:sz w:val="22"/>
                <w:szCs w:val="22"/>
              </w:rPr>
              <w:t>重视课程建设，课程数量足够、质量较高，能满足学生个性化学习需求。生均课程</w:t>
            </w:r>
            <w:r>
              <w:rPr>
                <w:rFonts w:ascii="Times New Roman" w:hAnsi="Times New Roman" w:eastAsia="宋体" w:cs="Times New Roman"/>
                <w:bCs/>
                <w:sz w:val="22"/>
                <w:szCs w:val="22"/>
              </w:rPr>
              <w:t>0.2</w:t>
            </w:r>
            <w:r>
              <w:rPr>
                <w:rFonts w:ascii="Times New Roman" w:hAnsi="宋体" w:eastAsia="宋体" w:cs="Times New Roman"/>
                <w:bCs/>
                <w:sz w:val="22"/>
                <w:szCs w:val="22"/>
              </w:rPr>
              <w:t>门以上。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3-4-2  重视教材建设。主编（含副主编）</w:t>
            </w:r>
            <w:r>
              <w:rPr>
                <w:rFonts w:cs="Times New Roman" w:asciiTheme="minorEastAsia" w:hAnsiTheme="minorEastAsia"/>
                <w:bCs/>
                <w:sz w:val="22"/>
                <w:szCs w:val="22"/>
              </w:rPr>
              <w:t>“</w:t>
            </w:r>
            <w:r>
              <w:rPr>
                <w:rFonts w:ascii="Times New Roman" w:hAnsi="Times New Roman" w:eastAsia="宋体" w:cs="Times New Roman"/>
                <w:bCs/>
                <w:sz w:val="22"/>
                <w:szCs w:val="22"/>
              </w:rPr>
              <w:t>十四五</w:t>
            </w:r>
            <w:r>
              <w:rPr>
                <w:rFonts w:cs="Times New Roman" w:asciiTheme="minorEastAsia" w:hAnsiTheme="minorEastAsia"/>
                <w:bCs/>
                <w:sz w:val="22"/>
                <w:szCs w:val="22"/>
              </w:rPr>
              <w:t>”</w:t>
            </w:r>
            <w:r>
              <w:rPr>
                <w:rFonts w:ascii="Times New Roman" w:hAnsi="Times New Roman" w:eastAsia="宋体" w:cs="Times New Roman"/>
                <w:bCs/>
                <w:sz w:val="22"/>
                <w:szCs w:val="22"/>
              </w:rPr>
              <w:t>国家级规划教材2部以上；或获得全国教材建设奖。</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4.</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科学研究</w:t>
            </w: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4-1</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平台建设</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4-1-1  平台建设力度大。建有国家级创新平台1个以上或安徽省</w:t>
            </w:r>
            <w:r>
              <w:rPr>
                <w:rFonts w:hint="eastAsia" w:ascii="宋体" w:hAnsi="宋体" w:eastAsia="宋体" w:cs="Times New Roman"/>
                <w:bCs/>
                <w:sz w:val="22"/>
                <w:szCs w:val="22"/>
              </w:rPr>
              <w:t>“</w:t>
            </w:r>
            <w:r>
              <w:rPr>
                <w:rFonts w:hint="eastAsia" w:ascii="Times New Roman" w:hAnsi="Times New Roman" w:eastAsia="宋体" w:cs="Times New Roman"/>
                <w:bCs/>
                <w:sz w:val="22"/>
                <w:szCs w:val="22"/>
              </w:rPr>
              <w:t>一室一中心</w:t>
            </w:r>
            <w:r>
              <w:rPr>
                <w:rFonts w:hint="eastAsia" w:ascii="宋体" w:hAnsi="宋体" w:eastAsia="宋体" w:cs="Times New Roman"/>
                <w:bCs/>
                <w:sz w:val="22"/>
                <w:szCs w:val="22"/>
              </w:rPr>
              <w:t>”</w:t>
            </w:r>
            <w:r>
              <w:rPr>
                <w:rFonts w:ascii="Times New Roman" w:hAnsi="Times New Roman" w:eastAsia="宋体" w:cs="Times New Roman"/>
                <w:bCs/>
                <w:sz w:val="22"/>
                <w:szCs w:val="22"/>
              </w:rPr>
              <w:t>2个以上或部委平台4个以上；深度融入合肥国家综合性科学中心的平台5个以上。人文社科为主的院校拥有部省级及以上智库机构4个以上、参与地方咨询服务机构2个以上。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4-2</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科研经费与研发投入</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4-2-1  科研经费逐年增长。师均年科研经费</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10万元（人文社科为主的院校</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2万元）；年科研经费增长幅度不低于10%（科研经费总量超过2亿的不低于5%）。年均研发经费占科研到账经费70%以上（人文社科为主的院校40%以上）。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4-3</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科研项目与创新成果</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4-3-1  强化基础科学研究，科研创新能力较强。近三年年均主持国家级科研项目50项以上（</w:t>
            </w:r>
            <w:r>
              <w:rPr>
                <w:rFonts w:hint="eastAsia" w:cs="Times New Roman" w:asciiTheme="minorEastAsia" w:hAnsiTheme="minorEastAsia"/>
                <w:bCs/>
                <w:sz w:val="22"/>
                <w:szCs w:val="22"/>
              </w:rPr>
              <w:t>“</w:t>
            </w:r>
            <w:r>
              <w:rPr>
                <w:rFonts w:hint="eastAsia" w:ascii="Times New Roman" w:hAnsi="Times New Roman" w:eastAsia="宋体" w:cs="Times New Roman"/>
                <w:bCs/>
                <w:sz w:val="22"/>
                <w:szCs w:val="22"/>
              </w:rPr>
              <w:t>双一流</w:t>
            </w:r>
            <w:r>
              <w:rPr>
                <w:rFonts w:hint="eastAsia" w:cs="Times New Roman" w:asciiTheme="minorEastAsia" w:hAnsiTheme="minorEastAsia"/>
                <w:bCs/>
                <w:sz w:val="22"/>
                <w:szCs w:val="22"/>
              </w:rPr>
              <w:t>”</w:t>
            </w:r>
            <w:r>
              <w:rPr>
                <w:rFonts w:hint="eastAsia" w:ascii="Times New Roman" w:hAnsi="Times New Roman" w:eastAsia="宋体" w:cs="Times New Roman"/>
                <w:bCs/>
                <w:sz w:val="22"/>
                <w:szCs w:val="22"/>
              </w:rPr>
              <w:t>高校重大项目、重点项目不少于</w:t>
            </w:r>
            <w:r>
              <w:rPr>
                <w:rFonts w:ascii="Times New Roman" w:hAnsi="Times New Roman" w:eastAsia="宋体" w:cs="Times New Roman"/>
                <w:bCs/>
                <w:sz w:val="22"/>
                <w:szCs w:val="22"/>
              </w:rPr>
              <w:t>6项，其他高校不少于3项）；近两届所在单位主持1项或参与获得国家三大奖3项以上或教育部人文社科奖2项以上。</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4-4</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学术论文</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4-4-1  注重学术论文的质量。三高论文数量逐年增加；在国内高水平学术期刊发表的学术论文数量逐年增加。</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7" w:hRule="atLeast"/>
          <w:jc w:val="center"/>
        </w:trPr>
        <w:tc>
          <w:tcPr>
            <w:tcW w:w="438" w:type="pct"/>
            <w:vMerge w:val="restart"/>
            <w:tcBorders>
              <w:top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5.</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社会服务</w:t>
            </w:r>
          </w:p>
        </w:tc>
        <w:tc>
          <w:tcPr>
            <w:tcW w:w="741" w:type="pct"/>
            <w:vMerge w:val="restart"/>
            <w:tcBorders>
              <w:top w:val="single" w:color="000000" w:sz="4" w:space="0"/>
              <w:left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5-1</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社会服务</w:t>
            </w:r>
          </w:p>
        </w:tc>
        <w:tc>
          <w:tcPr>
            <w:tcW w:w="2040" w:type="pct"/>
            <w:tcBorders>
              <w:top w:val="single" w:color="000000" w:sz="4" w:space="0"/>
              <w:left w:val="single" w:color="000000" w:sz="4" w:space="0"/>
              <w:bottom w:val="single" w:color="auto"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5-1-1  注重产教融合，社会服务能力不断增强。企业共建工程技术（研究）中心1个以上；被国家、省委省政府采纳或领导批示的咨询报告年均10篇以上。工科院校科技成果转化率不低于10%。</w:t>
            </w:r>
          </w:p>
        </w:tc>
        <w:tc>
          <w:tcPr>
            <w:tcW w:w="594" w:type="pct"/>
            <w:tcBorders>
              <w:top w:val="single" w:color="000000" w:sz="4" w:space="0"/>
              <w:left w:val="single" w:color="000000" w:sz="4" w:space="0"/>
              <w:bottom w:val="single" w:color="auto"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auto"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auto"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1" w:hRule="atLeast"/>
          <w:jc w:val="center"/>
        </w:trPr>
        <w:tc>
          <w:tcPr>
            <w:tcW w:w="438" w:type="pct"/>
            <w:vMerge w:val="continue"/>
            <w:tcBorders>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auto"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5-1-2  推进科技评价体制改革。制定以科技创新质量、贡献、绩效为导向的科技创新成果分类评价制度。学校有专门从事应用研究、实验发展、成果推广的机构和专门人员。</w:t>
            </w:r>
          </w:p>
        </w:tc>
        <w:tc>
          <w:tcPr>
            <w:tcW w:w="594" w:type="pct"/>
            <w:tcBorders>
              <w:top w:val="single" w:color="auto"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auto"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auto"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6.</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开放办学</w:t>
            </w: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6-1</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国际国内交流</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6-1-1  不断拓展国际交流合作空间。有教育部审批的中外合作办学机构或专业2个以上；留学生规模逐年扩大，学历生不少于30人，逐年增加。</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6-1-2  不断拓宽国际国内交流合作途径。每年举办或承办国际学术会议15次以上，国内会议35次以上；论文在国际国内会议上入选，并交流100次以上。每年赴境外学习交流、参加会议（含线上）、合作科研（含远程）的教师不少于专任教师总数的25%；每年赴境外学习、交换等本科学生数不少于在校生数的3%。</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6-2</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合作办学</w:t>
            </w:r>
          </w:p>
        </w:tc>
        <w:tc>
          <w:tcPr>
            <w:tcW w:w="2040" w:type="pc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6-2-1  与长三角区域或国内3个以上高水平大学或大院大所有深度合作，签订全面合作框架协议。联合培养研究生规模达到研究生在校生总数的10%以上。</w:t>
            </w:r>
            <w:r>
              <w:rPr>
                <w:rStyle w:val="15"/>
                <w:rFonts w:ascii="Times New Roman" w:hAnsi="Times New Roman" w:eastAsia="宋体" w:cs="Times New Roman"/>
                <w:bCs/>
                <w:color w:val="auto"/>
                <w:sz w:val="22"/>
                <w:szCs w:val="22"/>
              </w:rPr>
              <w:t>校地、校校、校企深度合作。</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2" w:hRule="atLeast"/>
          <w:jc w:val="center"/>
        </w:trPr>
        <w:tc>
          <w:tcPr>
            <w:tcW w:w="438" w:type="pct"/>
            <w:vMerge w:val="restart"/>
            <w:tcBorders>
              <w:top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
                <w:bCs/>
                <w:sz w:val="22"/>
                <w:szCs w:val="22"/>
              </w:rPr>
            </w:pPr>
            <w:r>
              <w:rPr>
                <w:rFonts w:ascii="Times New Roman" w:hAnsi="Times New Roman" w:eastAsia="宋体" w:cs="Times New Roman"/>
                <w:b/>
                <w:bCs/>
                <w:sz w:val="22"/>
                <w:szCs w:val="22"/>
              </w:rPr>
              <w:t>7.</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办学特色</w:t>
            </w: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7-1</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办学特色</w:t>
            </w:r>
          </w:p>
        </w:tc>
        <w:tc>
          <w:tcPr>
            <w:tcW w:w="2040" w:type="pct"/>
            <w:vMerge w:val="restart"/>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7-1-1  高校在围绕加快地方区域经济社会发展，优化调整学科专业结构，改革人才培养模式，创新人才培养体制机制等方面形成鲜明特色。</w:t>
            </w: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2" w:hRule="atLeast"/>
          <w:jc w:val="center"/>
        </w:trPr>
        <w:tc>
          <w:tcPr>
            <w:tcW w:w="438" w:type="pct"/>
            <w:vMerge w:val="continue"/>
            <w:tcBorders>
              <w:top w:val="single" w:color="000000"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000000" w:sz="4" w:space="0"/>
              <w:left w:val="single" w:color="000000"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vMerge w:val="continue"/>
            <w:tcBorders>
              <w:top w:val="single" w:color="000000" w:sz="4" w:space="0"/>
              <w:left w:val="single" w:color="000000" w:sz="4" w:space="0"/>
              <w:bottom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c>
          <w:tcPr>
            <w:tcW w:w="594"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宋体" w:cs="Times New Roman"/>
                <w:bCs/>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right w:val="single" w:color="auto" w:sz="4" w:space="0"/>
            </w:tcBorders>
            <w:vAlign w:val="center"/>
          </w:tcPr>
          <w:p>
            <w:pPr>
              <w:adjustRightInd w:val="0"/>
              <w:snapToGrid w:val="0"/>
              <w:jc w:val="left"/>
              <w:rPr>
                <w:rFonts w:ascii="Times New Roman" w:hAnsi="Times New Roman" w:eastAsia="宋体" w:cs="Times New Roman"/>
                <w:bCs/>
                <w:sz w:val="22"/>
                <w:szCs w:val="22"/>
              </w:rPr>
            </w:pP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
                <w:bCs/>
                <w:sz w:val="22"/>
                <w:szCs w:val="22"/>
              </w:rPr>
              <w:t>8.</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卓越建设成效</w:t>
            </w:r>
          </w:p>
        </w:tc>
        <w:tc>
          <w:tcPr>
            <w:tcW w:w="7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8-1</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有下列成果中一项，视为优秀</w:t>
            </w:r>
          </w:p>
        </w:tc>
        <w:tc>
          <w:tcPr>
            <w:tcW w:w="2040" w:type="pct"/>
            <w:tcBorders>
              <w:top w:val="single" w:color="000000" w:sz="4" w:space="0"/>
              <w:left w:val="single" w:color="auto" w:sz="4" w:space="0"/>
              <w:bottom w:val="single" w:color="000000" w:sz="4" w:space="0"/>
            </w:tcBorders>
            <w:vAlign w:val="center"/>
          </w:tcPr>
          <w:p>
            <w:pPr>
              <w:adjustRightInd w:val="0"/>
              <w:snapToGrid w:val="0"/>
              <w:jc w:val="left"/>
              <w:rPr>
                <w:rStyle w:val="17"/>
                <w:rFonts w:ascii="Times New Roman" w:hAnsi="Times New Roman" w:eastAsia="宋体" w:cs="Times New Roman"/>
                <w:bCs/>
                <w:color w:val="auto"/>
                <w:sz w:val="22"/>
                <w:szCs w:val="22"/>
              </w:rPr>
            </w:pPr>
            <w:r>
              <w:rPr>
                <w:rStyle w:val="17"/>
                <w:rFonts w:ascii="Times New Roman" w:hAnsi="Times New Roman" w:eastAsia="宋体" w:cs="Times New Roman"/>
                <w:bCs/>
                <w:color w:val="auto"/>
                <w:sz w:val="22"/>
                <w:szCs w:val="22"/>
              </w:rPr>
              <w:t>8-1-1  培育本校院士1人。</w:t>
            </w: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auto"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auto" w:sz="4" w:space="0"/>
              <w:bottom w:val="single" w:color="000000" w:sz="4" w:space="0"/>
            </w:tcBorders>
            <w:vAlign w:val="center"/>
          </w:tcPr>
          <w:p>
            <w:pPr>
              <w:adjustRightInd w:val="0"/>
              <w:snapToGrid w:val="0"/>
              <w:jc w:val="left"/>
              <w:rPr>
                <w:rStyle w:val="17"/>
                <w:rFonts w:ascii="Times New Roman" w:hAnsi="Times New Roman" w:eastAsia="宋体" w:cs="Times New Roman"/>
                <w:bCs/>
                <w:color w:val="auto"/>
                <w:sz w:val="22"/>
                <w:szCs w:val="22"/>
                <w:lang w:eastAsia="zh-CN"/>
              </w:rPr>
            </w:pPr>
            <w:r>
              <w:rPr>
                <w:rStyle w:val="17"/>
                <w:rFonts w:ascii="Times New Roman" w:hAnsi="Times New Roman" w:eastAsia="宋体" w:cs="Times New Roman"/>
                <w:bCs/>
                <w:color w:val="auto"/>
                <w:sz w:val="22"/>
                <w:szCs w:val="22"/>
                <w:lang w:eastAsia="zh-CN"/>
              </w:rPr>
              <w:t>8-1-2  主持获得国家自然科学奖二等奖或技术发明奖、科技进步奖一等奖。</w:t>
            </w: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right w:val="single" w:color="auto"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auto" w:sz="4" w:space="0"/>
              <w:bottom w:val="single" w:color="000000" w:sz="4" w:space="0"/>
            </w:tcBorders>
            <w:vAlign w:val="center"/>
          </w:tcPr>
          <w:p>
            <w:pPr>
              <w:adjustRightInd w:val="0"/>
              <w:snapToGrid w:val="0"/>
              <w:jc w:val="left"/>
              <w:rPr>
                <w:rStyle w:val="17"/>
                <w:rFonts w:ascii="Times New Roman" w:hAnsi="Times New Roman" w:eastAsia="宋体" w:cs="Times New Roman"/>
                <w:bCs/>
                <w:color w:val="auto"/>
                <w:sz w:val="22"/>
                <w:szCs w:val="22"/>
              </w:rPr>
            </w:pPr>
            <w:r>
              <w:rPr>
                <w:rStyle w:val="17"/>
                <w:rFonts w:ascii="Times New Roman" w:hAnsi="Times New Roman" w:eastAsia="宋体" w:cs="Times New Roman"/>
                <w:bCs/>
                <w:color w:val="auto"/>
                <w:sz w:val="22"/>
                <w:szCs w:val="22"/>
              </w:rPr>
              <w:t>8-1-3  ESI 1‰学科1个。</w:t>
            </w: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c>
          <w:tcPr>
            <w:tcW w:w="594" w:type="pct"/>
            <w:tcBorders>
              <w:top w:val="single" w:color="000000" w:sz="4" w:space="0"/>
              <w:left w:val="single" w:color="auto" w:sz="4" w:space="0"/>
              <w:bottom w:val="single" w:color="000000" w:sz="4" w:space="0"/>
            </w:tcBorders>
            <w:vAlign w:val="center"/>
          </w:tcPr>
          <w:p>
            <w:pPr>
              <w:adjustRightInd w:val="0"/>
              <w:snapToGrid w:val="0"/>
              <w:rPr>
                <w:rStyle w:val="17"/>
                <w:rFonts w:ascii="Times New Roman" w:hAnsi="Times New Roman" w:eastAsia="宋体" w:cs="Times New Roman"/>
                <w:bCs/>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6" w:hRule="atLeast"/>
          <w:jc w:val="center"/>
        </w:trPr>
        <w:tc>
          <w:tcPr>
            <w:tcW w:w="438" w:type="pct"/>
            <w:vMerge w:val="continue"/>
            <w:tcBorders>
              <w:right w:val="single" w:color="auto"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auto" w:sz="4" w:space="0"/>
              <w:left w:val="single" w:color="auto" w:sz="4" w:space="0"/>
              <w:bottom w:val="single" w:color="auto" w:sz="4" w:space="0"/>
            </w:tcBorders>
            <w:vAlign w:val="center"/>
          </w:tcPr>
          <w:p>
            <w:pPr>
              <w:adjustRightInd w:val="0"/>
              <w:snapToGrid w:val="0"/>
              <w:jc w:val="left"/>
              <w:rPr>
                <w:rStyle w:val="17"/>
                <w:rFonts w:ascii="Times New Roman" w:hAnsi="Times New Roman" w:eastAsia="宋体" w:cs="Times New Roman"/>
                <w:bCs/>
                <w:color w:val="auto"/>
                <w:sz w:val="22"/>
                <w:szCs w:val="22"/>
                <w:lang w:eastAsia="zh-CN"/>
              </w:rPr>
            </w:pPr>
            <w:r>
              <w:rPr>
                <w:rStyle w:val="17"/>
                <w:rFonts w:ascii="Times New Roman" w:hAnsi="Times New Roman" w:eastAsia="宋体" w:cs="Times New Roman"/>
                <w:bCs/>
                <w:color w:val="auto"/>
                <w:sz w:val="22"/>
                <w:szCs w:val="22"/>
                <w:lang w:eastAsia="zh-CN"/>
              </w:rPr>
              <w:t>8-1-4  教育部学科评估获得A等级。</w:t>
            </w:r>
          </w:p>
        </w:tc>
        <w:tc>
          <w:tcPr>
            <w:tcW w:w="594" w:type="pct"/>
            <w:tcBorders>
              <w:top w:val="single" w:color="auto"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auto"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auto"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0" w:hRule="atLeast"/>
          <w:jc w:val="center"/>
        </w:trPr>
        <w:tc>
          <w:tcPr>
            <w:tcW w:w="438" w:type="pct"/>
            <w:vMerge w:val="continue"/>
            <w:tcBorders>
              <w:right w:val="single" w:color="auto"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restart"/>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8-2</w:t>
            </w:r>
          </w:p>
          <w:p>
            <w:pPr>
              <w:adjustRightInd w:val="0"/>
              <w:snapToGrid w:val="0"/>
              <w:jc w:val="left"/>
              <w:rPr>
                <w:rFonts w:ascii="Times New Roman" w:hAnsi="Times New Roman" w:eastAsia="宋体" w:cs="Times New Roman"/>
                <w:bCs/>
                <w:sz w:val="22"/>
                <w:szCs w:val="22"/>
              </w:rPr>
            </w:pPr>
            <w:r>
              <w:rPr>
                <w:rFonts w:ascii="Times New Roman" w:hAnsi="Times New Roman" w:eastAsia="宋体" w:cs="Times New Roman"/>
                <w:bCs/>
                <w:sz w:val="22"/>
                <w:szCs w:val="22"/>
              </w:rPr>
              <w:t>有下列成果中一项，视为合格</w:t>
            </w:r>
          </w:p>
        </w:tc>
        <w:tc>
          <w:tcPr>
            <w:tcW w:w="2040" w:type="pct"/>
            <w:tcBorders>
              <w:top w:val="single" w:color="auto" w:sz="4" w:space="0"/>
              <w:left w:val="single" w:color="auto" w:sz="4" w:space="0"/>
            </w:tcBorders>
            <w:vAlign w:val="center"/>
          </w:tcPr>
          <w:p>
            <w:pPr>
              <w:adjustRightInd w:val="0"/>
              <w:snapToGrid w:val="0"/>
              <w:jc w:val="left"/>
              <w:rPr>
                <w:rStyle w:val="17"/>
                <w:rFonts w:ascii="Times New Roman" w:hAnsi="Times New Roman" w:eastAsia="宋体" w:cs="Times New Roman"/>
                <w:bCs/>
                <w:color w:val="auto"/>
                <w:sz w:val="22"/>
                <w:szCs w:val="22"/>
                <w:lang w:eastAsia="zh-CN"/>
              </w:rPr>
            </w:pPr>
            <w:r>
              <w:rPr>
                <w:rStyle w:val="17"/>
                <w:rFonts w:ascii="Times New Roman" w:hAnsi="Times New Roman" w:eastAsia="宋体" w:cs="Times New Roman"/>
                <w:bCs/>
                <w:color w:val="auto"/>
                <w:sz w:val="22"/>
                <w:szCs w:val="22"/>
                <w:lang w:eastAsia="zh-CN"/>
              </w:rPr>
              <w:t>8-2-1  获得教育部人文社会科学一等奖。</w:t>
            </w:r>
          </w:p>
        </w:tc>
        <w:tc>
          <w:tcPr>
            <w:tcW w:w="594" w:type="pct"/>
            <w:tcBorders>
              <w:top w:val="single" w:color="auto" w:sz="4" w:space="0"/>
              <w:left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auto" w:sz="4" w:space="0"/>
              <w:left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auto" w:sz="4" w:space="0"/>
              <w:left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438" w:type="pct"/>
            <w:vMerge w:val="continue"/>
            <w:tcBorders>
              <w:bottom w:val="single" w:color="auto" w:sz="4" w:space="0"/>
              <w:right w:val="single" w:color="auto" w:sz="4" w:space="0"/>
            </w:tcBorders>
            <w:vAlign w:val="center"/>
          </w:tcPr>
          <w:p>
            <w:pPr>
              <w:adjustRightInd w:val="0"/>
              <w:snapToGrid w:val="0"/>
              <w:jc w:val="left"/>
              <w:rPr>
                <w:rFonts w:ascii="Times New Roman" w:hAnsi="Times New Roman" w:eastAsia="宋体" w:cs="Times New Roman"/>
                <w:bCs/>
                <w:sz w:val="22"/>
                <w:szCs w:val="22"/>
              </w:rPr>
            </w:pPr>
          </w:p>
        </w:tc>
        <w:tc>
          <w:tcPr>
            <w:tcW w:w="741" w:type="pct"/>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jc w:val="left"/>
              <w:rPr>
                <w:rFonts w:ascii="Times New Roman" w:hAnsi="Times New Roman" w:eastAsia="宋体" w:cs="Times New Roman"/>
                <w:bCs/>
                <w:sz w:val="22"/>
                <w:szCs w:val="22"/>
              </w:rPr>
            </w:pPr>
          </w:p>
        </w:tc>
        <w:tc>
          <w:tcPr>
            <w:tcW w:w="2040" w:type="pct"/>
            <w:tcBorders>
              <w:top w:val="single" w:color="000000" w:sz="4" w:space="0"/>
              <w:left w:val="single" w:color="auto" w:sz="4" w:space="0"/>
              <w:bottom w:val="single" w:color="auto" w:sz="4" w:space="0"/>
            </w:tcBorders>
            <w:vAlign w:val="center"/>
          </w:tcPr>
          <w:p>
            <w:pPr>
              <w:adjustRightInd w:val="0"/>
              <w:snapToGrid w:val="0"/>
              <w:jc w:val="left"/>
              <w:rPr>
                <w:rStyle w:val="17"/>
                <w:rFonts w:ascii="Times New Roman" w:hAnsi="Times New Roman" w:eastAsia="宋体" w:cs="Times New Roman"/>
                <w:bCs/>
                <w:color w:val="auto"/>
                <w:sz w:val="22"/>
                <w:szCs w:val="22"/>
                <w:lang w:eastAsia="zh-CN"/>
              </w:rPr>
            </w:pPr>
            <w:r>
              <w:rPr>
                <w:rStyle w:val="17"/>
                <w:rFonts w:ascii="Times New Roman" w:hAnsi="Times New Roman" w:eastAsia="宋体" w:cs="Times New Roman"/>
                <w:bCs/>
                <w:color w:val="auto"/>
                <w:sz w:val="22"/>
                <w:szCs w:val="22"/>
                <w:lang w:eastAsia="zh-CN"/>
              </w:rPr>
              <w:t>8-2-2  主持国家级教学成果奖一等奖。</w:t>
            </w:r>
          </w:p>
        </w:tc>
        <w:tc>
          <w:tcPr>
            <w:tcW w:w="594" w:type="pct"/>
            <w:tcBorders>
              <w:top w:val="single" w:color="000000"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000000"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c>
          <w:tcPr>
            <w:tcW w:w="594" w:type="pct"/>
            <w:tcBorders>
              <w:top w:val="single" w:color="000000" w:sz="4" w:space="0"/>
              <w:left w:val="single" w:color="auto" w:sz="4" w:space="0"/>
              <w:bottom w:val="single" w:color="auto" w:sz="4" w:space="0"/>
            </w:tcBorders>
            <w:vAlign w:val="center"/>
          </w:tcPr>
          <w:p>
            <w:pPr>
              <w:adjustRightInd w:val="0"/>
              <w:snapToGrid w:val="0"/>
              <w:rPr>
                <w:rStyle w:val="17"/>
                <w:rFonts w:ascii="Times New Roman" w:hAnsi="Times New Roman" w:eastAsia="宋体" w:cs="Times New Roman"/>
                <w:bCs/>
                <w:color w:val="auto"/>
                <w:sz w:val="22"/>
                <w:szCs w:val="22"/>
                <w:lang w:eastAsia="zh-CN"/>
              </w:rPr>
            </w:pPr>
          </w:p>
        </w:tc>
      </w:tr>
    </w:tbl>
    <w:p>
      <w:pPr>
        <w:spacing w:line="300" w:lineRule="exact"/>
        <w:rPr>
          <w:rFonts w:ascii="Times New Roman" w:hAnsi="Times New Roman" w:cs="Times New Roman"/>
          <w:b/>
          <w:kern w:val="0"/>
          <w:szCs w:val="21"/>
        </w:rPr>
      </w:pPr>
    </w:p>
    <w:p>
      <w:pPr>
        <w:spacing w:line="300" w:lineRule="exact"/>
        <w:rPr>
          <w:rFonts w:ascii="Times New Roman" w:hAnsi="Times New Roman" w:cs="Times New Roman"/>
          <w:b/>
          <w:kern w:val="0"/>
          <w:szCs w:val="21"/>
        </w:rPr>
      </w:pPr>
    </w:p>
    <w:p>
      <w:pPr>
        <w:spacing w:line="300" w:lineRule="exact"/>
        <w:rPr>
          <w:rFonts w:ascii="Times New Roman" w:hAnsi="Times New Roman" w:cs="Times New Roman"/>
          <w:b/>
          <w:kern w:val="0"/>
          <w:szCs w:val="21"/>
        </w:rPr>
      </w:pPr>
    </w:p>
    <w:p>
      <w:pPr>
        <w:spacing w:line="300" w:lineRule="exact"/>
        <w:rPr>
          <w:rFonts w:ascii="Times New Roman" w:hAnsi="Times New Roman" w:cs="Times New Roman"/>
          <w:b/>
          <w:kern w:val="0"/>
          <w:szCs w:val="21"/>
        </w:rPr>
      </w:pPr>
    </w:p>
    <w:p>
      <w:pPr>
        <w:spacing w:line="300" w:lineRule="exact"/>
        <w:rPr>
          <w:rFonts w:ascii="Times New Roman" w:hAnsi="Times New Roman" w:cs="Times New Roman"/>
          <w:b/>
          <w:kern w:val="0"/>
          <w:szCs w:val="21"/>
        </w:rPr>
      </w:pPr>
    </w:p>
    <w:p>
      <w:pPr>
        <w:spacing w:line="300" w:lineRule="exact"/>
        <w:rPr>
          <w:rFonts w:ascii="Times New Roman" w:hAnsi="Times New Roman" w:cs="Times New Roman"/>
          <w:b/>
          <w:kern w:val="0"/>
          <w:szCs w:val="21"/>
        </w:rPr>
      </w:pPr>
    </w:p>
    <w:p>
      <w:pPr>
        <w:pStyle w:val="2"/>
        <w:rPr>
          <w:rFonts w:ascii="Times New Roman" w:hAnsi="Times New Roman" w:cs="Times New Roman"/>
          <w:sz w:val="32"/>
          <w:szCs w:val="32"/>
        </w:rPr>
      </w:pPr>
    </w:p>
    <w:p>
      <w:pPr>
        <w:widowControl/>
        <w:jc w:val="left"/>
        <w:rPr>
          <w:rFonts w:ascii="Times New Roman" w:hAnsi="Times New Roman" w:cs="Times New Roman"/>
        </w:rPr>
      </w:pPr>
      <w:r>
        <w:rPr>
          <w:rFonts w:ascii="Times New Roman" w:hAnsi="Times New Roman" w:cs="Times New Roman"/>
        </w:rPr>
        <w:br w:type="page"/>
      </w:r>
    </w:p>
    <w:p>
      <w:pPr>
        <w:pStyle w:val="2"/>
        <w:rPr>
          <w:rFonts w:ascii="Times New Roman" w:hAnsi="Times New Roman" w:eastAsia="黑体" w:cs="Times New Roman"/>
          <w:b/>
          <w:sz w:val="28"/>
          <w:szCs w:val="28"/>
        </w:rPr>
      </w:pPr>
      <w:r>
        <w:rPr>
          <w:rFonts w:hint="eastAsia" w:ascii="Times New Roman" w:hAnsi="Times New Roman" w:eastAsia="黑体" w:cs="Times New Roman"/>
          <w:b/>
          <w:sz w:val="28"/>
          <w:szCs w:val="28"/>
        </w:rPr>
        <w:t>附</w:t>
      </w:r>
      <w:r>
        <w:rPr>
          <w:rFonts w:ascii="Times New Roman" w:hAnsi="Times New Roman" w:eastAsia="黑体" w:cs="Times New Roman"/>
          <w:b/>
          <w:sz w:val="28"/>
          <w:szCs w:val="28"/>
        </w:rPr>
        <w:t>2</w:t>
      </w:r>
      <w:r>
        <w:rPr>
          <w:rFonts w:hint="eastAsia" w:ascii="Times New Roman" w:hAnsi="Times New Roman" w:eastAsia="黑体" w:cs="Times New Roman"/>
          <w:b/>
          <w:sz w:val="28"/>
          <w:szCs w:val="28"/>
          <w:lang w:val="en-US" w:eastAsia="zh-CN"/>
        </w:rPr>
        <w:t>.2</w:t>
      </w:r>
      <w:r>
        <w:rPr>
          <w:rFonts w:hint="eastAsia" w:ascii="Times New Roman" w:hAnsi="Times New Roman" w:eastAsia="黑体" w:cs="Times New Roman"/>
          <w:b/>
          <w:sz w:val="28"/>
          <w:szCs w:val="28"/>
        </w:rPr>
        <w:t>：</w:t>
      </w:r>
    </w:p>
    <w:p>
      <w:pPr>
        <w:pStyle w:val="2"/>
        <w:rPr>
          <w:rFonts w:ascii="黑体" w:hAnsi="黑体" w:eastAsia="黑体" w:cs="Times New Roman"/>
          <w:sz w:val="44"/>
          <w:szCs w:val="44"/>
        </w:rPr>
      </w:pPr>
      <w:r>
        <w:rPr>
          <w:rFonts w:hint="eastAsia" w:ascii="黑体" w:hAnsi="黑体" w:eastAsia="黑体" w:cs="Times New Roman"/>
          <w:sz w:val="44"/>
          <w:szCs w:val="44"/>
        </w:rPr>
        <w:t>安徽省地方特色高水平大学建设自评报告</w:t>
      </w:r>
    </w:p>
    <w:p>
      <w:pPr>
        <w:pStyle w:val="2"/>
        <w:rPr>
          <w:rFonts w:ascii="Times New Roman" w:hAnsi="Times New Roman" w:eastAsia="方正小标宋简体" w:cs="Times New Roman"/>
          <w:sz w:val="40"/>
          <w:szCs w:val="44"/>
        </w:rPr>
      </w:pPr>
      <w:r>
        <w:rPr>
          <w:rFonts w:hint="eastAsia" w:ascii="Times New Roman" w:hAnsi="Times New Roman" w:eastAsia="仿宋" w:cs="Times New Roman"/>
          <w:sz w:val="28"/>
          <w:szCs w:val="32"/>
        </w:rPr>
        <w:t>重点阐述：学校对照自评表，全面梳理地方行业特色高水平大学本科院校项目的完成情况，包括实施举措、推动机制、取得的成效与经验产生的社会影响和推广应用情况；项目实施过程中存在的问题及原因，以及下一步推动实施计划。</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OTBiZTEyZWE2MTE4OTI3NjNlNWY4MzM0YjA0ZGMifQ=="/>
  </w:docVars>
  <w:rsids>
    <w:rsidRoot w:val="00F01124"/>
    <w:rsid w:val="00015C18"/>
    <w:rsid w:val="000607D1"/>
    <w:rsid w:val="000968BF"/>
    <w:rsid w:val="00136AF8"/>
    <w:rsid w:val="00147EC5"/>
    <w:rsid w:val="001B5F9B"/>
    <w:rsid w:val="001F010F"/>
    <w:rsid w:val="0025542B"/>
    <w:rsid w:val="00295B87"/>
    <w:rsid w:val="00367486"/>
    <w:rsid w:val="003C7AD9"/>
    <w:rsid w:val="00501A68"/>
    <w:rsid w:val="005036E1"/>
    <w:rsid w:val="00516176"/>
    <w:rsid w:val="00530243"/>
    <w:rsid w:val="00681B93"/>
    <w:rsid w:val="006D7B03"/>
    <w:rsid w:val="00700064"/>
    <w:rsid w:val="00726F87"/>
    <w:rsid w:val="00750769"/>
    <w:rsid w:val="00771FEF"/>
    <w:rsid w:val="00780A4E"/>
    <w:rsid w:val="00781B4A"/>
    <w:rsid w:val="00876F9E"/>
    <w:rsid w:val="008B5B61"/>
    <w:rsid w:val="008D269E"/>
    <w:rsid w:val="008E7B4A"/>
    <w:rsid w:val="009A7F33"/>
    <w:rsid w:val="00AE5AC4"/>
    <w:rsid w:val="00BB6AAB"/>
    <w:rsid w:val="00BF4F8A"/>
    <w:rsid w:val="00C1523D"/>
    <w:rsid w:val="00C56375"/>
    <w:rsid w:val="00C90B74"/>
    <w:rsid w:val="00C92F13"/>
    <w:rsid w:val="00CC6353"/>
    <w:rsid w:val="00CE711C"/>
    <w:rsid w:val="00D972C3"/>
    <w:rsid w:val="00DC1DC3"/>
    <w:rsid w:val="00DC3C02"/>
    <w:rsid w:val="00E17D22"/>
    <w:rsid w:val="00E51D99"/>
    <w:rsid w:val="00EC5777"/>
    <w:rsid w:val="00F01124"/>
    <w:rsid w:val="00F33311"/>
    <w:rsid w:val="00F93B35"/>
    <w:rsid w:val="00FE3992"/>
    <w:rsid w:val="017D19D5"/>
    <w:rsid w:val="02D5065B"/>
    <w:rsid w:val="032A5E4D"/>
    <w:rsid w:val="0596771E"/>
    <w:rsid w:val="05A144C0"/>
    <w:rsid w:val="05CE36E6"/>
    <w:rsid w:val="06285F76"/>
    <w:rsid w:val="083865E1"/>
    <w:rsid w:val="0A04031D"/>
    <w:rsid w:val="0B2F26F2"/>
    <w:rsid w:val="123B29C5"/>
    <w:rsid w:val="136400D9"/>
    <w:rsid w:val="14D774EC"/>
    <w:rsid w:val="15C56FC6"/>
    <w:rsid w:val="18997B46"/>
    <w:rsid w:val="19BA651A"/>
    <w:rsid w:val="19CF6495"/>
    <w:rsid w:val="1AEA0C02"/>
    <w:rsid w:val="1CAB53DC"/>
    <w:rsid w:val="1D547DAE"/>
    <w:rsid w:val="203402F1"/>
    <w:rsid w:val="20E8464E"/>
    <w:rsid w:val="21893D5B"/>
    <w:rsid w:val="231E4A3E"/>
    <w:rsid w:val="24103FBE"/>
    <w:rsid w:val="245B6779"/>
    <w:rsid w:val="284C5B81"/>
    <w:rsid w:val="293713D4"/>
    <w:rsid w:val="2AE04BFC"/>
    <w:rsid w:val="2BF671F8"/>
    <w:rsid w:val="2C832A71"/>
    <w:rsid w:val="2CC67AAB"/>
    <w:rsid w:val="31167093"/>
    <w:rsid w:val="3462154C"/>
    <w:rsid w:val="347B31E0"/>
    <w:rsid w:val="36F80A7B"/>
    <w:rsid w:val="381576D1"/>
    <w:rsid w:val="3AD20F8D"/>
    <w:rsid w:val="3ADE14D5"/>
    <w:rsid w:val="3B267DC3"/>
    <w:rsid w:val="3DE45272"/>
    <w:rsid w:val="412710ED"/>
    <w:rsid w:val="41C16863"/>
    <w:rsid w:val="43D75DBC"/>
    <w:rsid w:val="4422481C"/>
    <w:rsid w:val="44B85BBE"/>
    <w:rsid w:val="450D4DB5"/>
    <w:rsid w:val="45767E3D"/>
    <w:rsid w:val="46042A2C"/>
    <w:rsid w:val="46AA55BA"/>
    <w:rsid w:val="489A500D"/>
    <w:rsid w:val="493E57A7"/>
    <w:rsid w:val="495B47F7"/>
    <w:rsid w:val="497A3A3E"/>
    <w:rsid w:val="49B37746"/>
    <w:rsid w:val="4C2F1677"/>
    <w:rsid w:val="4CD32AA0"/>
    <w:rsid w:val="4D4D7CB0"/>
    <w:rsid w:val="4E765E2F"/>
    <w:rsid w:val="4E8E3200"/>
    <w:rsid w:val="4EFD0B34"/>
    <w:rsid w:val="51165F3C"/>
    <w:rsid w:val="51E82483"/>
    <w:rsid w:val="5278675A"/>
    <w:rsid w:val="53343C13"/>
    <w:rsid w:val="550820E9"/>
    <w:rsid w:val="557F3E3C"/>
    <w:rsid w:val="569C116E"/>
    <w:rsid w:val="56CA787E"/>
    <w:rsid w:val="56E163DC"/>
    <w:rsid w:val="5B124CDA"/>
    <w:rsid w:val="5DCB5B3C"/>
    <w:rsid w:val="5E3F4AAE"/>
    <w:rsid w:val="5E927774"/>
    <w:rsid w:val="5EAB43F6"/>
    <w:rsid w:val="5F3A7652"/>
    <w:rsid w:val="5FA7006C"/>
    <w:rsid w:val="608741F3"/>
    <w:rsid w:val="638425F7"/>
    <w:rsid w:val="64C34AEA"/>
    <w:rsid w:val="66437AC5"/>
    <w:rsid w:val="66D00134"/>
    <w:rsid w:val="681A31D1"/>
    <w:rsid w:val="69083096"/>
    <w:rsid w:val="6B2B3D9A"/>
    <w:rsid w:val="6BFB0540"/>
    <w:rsid w:val="6D873D06"/>
    <w:rsid w:val="6F6B056B"/>
    <w:rsid w:val="721A4602"/>
    <w:rsid w:val="749F404F"/>
    <w:rsid w:val="75366B74"/>
    <w:rsid w:val="76B1755B"/>
    <w:rsid w:val="773B692D"/>
    <w:rsid w:val="780061E4"/>
    <w:rsid w:val="780C598B"/>
    <w:rsid w:val="788E5507"/>
    <w:rsid w:val="78B94298"/>
    <w:rsid w:val="791E1F32"/>
    <w:rsid w:val="7C153A41"/>
    <w:rsid w:val="7D98789C"/>
    <w:rsid w:val="7F0F1196"/>
    <w:rsid w:val="7F3C0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autoRedefine/>
    <w:qFormat/>
    <w:uiPriority w:val="99"/>
    <w:pPr>
      <w:widowControl/>
      <w:spacing w:line="600" w:lineRule="exact"/>
      <w:ind w:firstLine="200" w:firstLineChars="200"/>
      <w:jc w:val="left"/>
      <w:outlineLvl w:val="0"/>
    </w:pPr>
    <w:rPr>
      <w:rFonts w:ascii="宋体" w:hAnsi="宋体" w:eastAsia="黑体" w:cs="Times New Roman"/>
      <w:b/>
      <w:bCs/>
      <w:kern w:val="36"/>
      <w:sz w:val="32"/>
      <w:szCs w:val="48"/>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4">
    <w:name w:val="Balloon Text"/>
    <w:basedOn w:val="1"/>
    <w:link w:val="18"/>
    <w:autoRedefine/>
    <w:qFormat/>
    <w:uiPriority w:val="0"/>
    <w:rPr>
      <w:sz w:val="18"/>
      <w:szCs w:val="18"/>
    </w:r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font11"/>
    <w:basedOn w:val="9"/>
    <w:autoRedefine/>
    <w:qFormat/>
    <w:uiPriority w:val="0"/>
    <w:rPr>
      <w:rFonts w:hint="default" w:ascii="Times New Roman" w:hAnsi="Times New Roman" w:cs="Times New Roman"/>
      <w:color w:val="000000"/>
      <w:sz w:val="28"/>
      <w:szCs w:val="28"/>
      <w:u w:val="none"/>
    </w:rPr>
  </w:style>
  <w:style w:type="character" w:customStyle="1" w:styleId="12">
    <w:name w:val="font01"/>
    <w:basedOn w:val="9"/>
    <w:autoRedefine/>
    <w:qFormat/>
    <w:uiPriority w:val="0"/>
    <w:rPr>
      <w:rFonts w:hint="eastAsia" w:ascii="楷体" w:hAnsi="楷体" w:eastAsia="楷体" w:cs="楷体"/>
      <w:color w:val="000000"/>
      <w:sz w:val="28"/>
      <w:szCs w:val="28"/>
      <w:u w:val="none"/>
    </w:rPr>
  </w:style>
  <w:style w:type="character" w:customStyle="1" w:styleId="13">
    <w:name w:val="标题 1 字符"/>
    <w:basedOn w:val="9"/>
    <w:autoRedefine/>
    <w:uiPriority w:val="0"/>
    <w:rPr>
      <w:rFonts w:asciiTheme="minorHAnsi" w:hAnsiTheme="minorHAnsi" w:eastAsiaTheme="minorEastAsia" w:cstheme="minorBidi"/>
      <w:b/>
      <w:bCs/>
      <w:kern w:val="44"/>
      <w:sz w:val="44"/>
      <w:szCs w:val="44"/>
    </w:rPr>
  </w:style>
  <w:style w:type="character" w:customStyle="1" w:styleId="14">
    <w:name w:val="标题 1 字符1"/>
    <w:link w:val="3"/>
    <w:autoRedefine/>
    <w:qFormat/>
    <w:locked/>
    <w:uiPriority w:val="99"/>
    <w:rPr>
      <w:rFonts w:ascii="宋体" w:hAnsi="宋体" w:eastAsia="黑体"/>
      <w:b/>
      <w:bCs/>
      <w:kern w:val="36"/>
      <w:sz w:val="32"/>
      <w:szCs w:val="48"/>
    </w:rPr>
  </w:style>
  <w:style w:type="character" w:customStyle="1" w:styleId="15">
    <w:name w:val="17"/>
    <w:qFormat/>
    <w:uiPriority w:val="99"/>
    <w:rPr>
      <w:rFonts w:ascii="方正仿宋_GBK" w:hAnsi="方正仿宋_GBK" w:eastAsia="方正仿宋_GBK"/>
      <w:color w:val="000000"/>
      <w:spacing w:val="0"/>
      <w:sz w:val="24"/>
      <w:lang w:val="en-US" w:eastAsia="en-US"/>
    </w:rPr>
  </w:style>
  <w:style w:type="character" w:customStyle="1" w:styleId="16">
    <w:name w:val="16"/>
    <w:autoRedefine/>
    <w:qFormat/>
    <w:uiPriority w:val="99"/>
    <w:rPr>
      <w:rFonts w:ascii="方正仿宋_GBK" w:hAnsi="方正仿宋_GBK" w:eastAsia="方正仿宋_GBK"/>
      <w:color w:val="000000"/>
      <w:spacing w:val="0"/>
      <w:sz w:val="24"/>
      <w:lang w:val="en-US" w:eastAsia="en-US"/>
    </w:rPr>
  </w:style>
  <w:style w:type="character" w:customStyle="1" w:styleId="17">
    <w:name w:val="font41"/>
    <w:autoRedefine/>
    <w:qFormat/>
    <w:uiPriority w:val="99"/>
    <w:rPr>
      <w:rFonts w:ascii="方正仿宋_GBK" w:hAnsi="方正仿宋_GBK" w:eastAsia="方正仿宋_GBK"/>
      <w:color w:val="000000"/>
      <w:sz w:val="24"/>
      <w:u w:val="none"/>
      <w:lang w:val="en-US" w:eastAsia="en-US"/>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9">
    <w:name w:val="页眉 字符"/>
    <w:basedOn w:val="9"/>
    <w:link w:val="6"/>
    <w:autoRedefine/>
    <w:uiPriority w:val="0"/>
    <w:rPr>
      <w:rFonts w:asciiTheme="minorHAnsi" w:hAnsiTheme="minorHAnsi" w:eastAsiaTheme="minorEastAsia" w:cstheme="minorBidi"/>
      <w:kern w:val="2"/>
      <w:sz w:val="18"/>
      <w:szCs w:val="18"/>
    </w:rPr>
  </w:style>
  <w:style w:type="character" w:customStyle="1" w:styleId="20">
    <w:name w:val="页脚 字符"/>
    <w:basedOn w:val="9"/>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1777</Words>
  <Characters>10131</Characters>
  <Lines>84</Lines>
  <Paragraphs>23</Paragraphs>
  <TotalTime>1</TotalTime>
  <ScaleCrop>false</ScaleCrop>
  <LinksUpToDate>false</LinksUpToDate>
  <CharactersWithSpaces>11885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2024-02-20T09:33:00Z</dcterms:created>
  <dc:creator>Administrator</dc:creator>
  <cp:lastModifiedBy>小小熊</cp:lastModifiedBy>
  <dcterms:modified xsi:type="dcterms:W3CDTF">2024-03-28T02:40:08Z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23A1C7A27E4847B08D4C7C98FC9E883F_12</vt:lpwstr>
  </property>
</Properties>
</file>