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8AC5">
      <w:pP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  <w:drawing>
          <wp:inline distT="0" distB="0" distL="0" distR="0">
            <wp:extent cx="2804795" cy="725805"/>
            <wp:effectExtent l="0" t="0" r="14605" b="17145"/>
            <wp:docPr id="1026" name="图片 2" descr="抬头-安徽医科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抬头-安徽医科大学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C2DF">
      <w:pP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</w:p>
    <w:p w14:paraId="6DB6D218">
      <w:pPr>
        <w:tabs>
          <w:tab w:val="left" w:pos="2926"/>
          <w:tab w:val="center" w:pos="4217"/>
        </w:tabs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均分证明</w:t>
      </w:r>
    </w:p>
    <w:p w14:paraId="34B55B4A">
      <w:pPr>
        <w:rPr>
          <w:rFonts w:hint="eastAsia" w:ascii="宋体" w:hAnsi="宋体" w:cs="Times New Roman"/>
          <w:sz w:val="28"/>
          <w:szCs w:val="28"/>
        </w:rPr>
      </w:pPr>
    </w:p>
    <w:p w14:paraId="3D7BA06A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学号: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为安徽医科大学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级普通全日制本科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年制学生，该生目前课程/考试课课程算术/加权平均分为XX/100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不包含公共选修课、五级制成绩）。</w:t>
      </w:r>
      <w:bookmarkStart w:id="0" w:name="_GoBack"/>
      <w:bookmarkEnd w:id="0"/>
    </w:p>
    <w:p w14:paraId="2E9DB53A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</w:p>
    <w:p w14:paraId="69102D30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安徽医科大学教务处</w:t>
      </w:r>
    </w:p>
    <w:p w14:paraId="3828CF73">
      <w:pPr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日</w:t>
      </w:r>
    </w:p>
    <w:p w14:paraId="696BFD21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25B96FFB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18A720B2">
      <w:pPr>
        <w:jc w:val="right"/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A15116-ECAC-4A26-A6C2-6DEB35E3B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361E945-658F-4B7B-B66F-7FA8511071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D990CDE-49CE-470F-B0A3-C116C7F488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5E87119E"/>
    <w:rsid w:val="5E8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2024-08-23T01:55:00Z</dcterms:created>
  <dc:creator>小丸子</dc:creator>
  <cp:lastModifiedBy>小丸子</cp:lastModifiedBy>
  <dcterms:modified xsi:type="dcterms:W3CDTF">2024-08-23T02:00:30Z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9270BD7F6E5C4FDA9A357122497199CF_11</vt:lpwstr>
  </property>
</Properties>
</file>